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DF" w:rsidRDefault="00284CA6" w:rsidP="00536A20">
      <w:pPr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＜愛知県</w:t>
      </w:r>
      <w:r w:rsidR="008963E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循環器病</w:t>
      </w:r>
      <w:r w:rsidR="00580DBE" w:rsidRPr="00156DAA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対策推進計画の策定</w:t>
      </w:r>
      <w:r w:rsidR="00B877BA" w:rsidRPr="00156DAA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について</w:t>
      </w:r>
      <w:r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＞</w:t>
      </w:r>
    </w:p>
    <w:p w:rsidR="002E7DC9" w:rsidRPr="00156DAA" w:rsidRDefault="002E7DC9" w:rsidP="00DF2D53">
      <w:pPr>
        <w:spacing w:line="360" w:lineRule="auto"/>
        <w:rPr>
          <w:rFonts w:ascii="ＭＳ ゴシック" w:eastAsia="ＭＳ ゴシック" w:hAnsi="ＭＳ ゴシック" w:cs="Times New Roman"/>
          <w:b/>
          <w:sz w:val="28"/>
          <w:szCs w:val="28"/>
        </w:rPr>
      </w:pPr>
    </w:p>
    <w:p w:rsidR="00C878B8" w:rsidRDefault="00B877BA" w:rsidP="00DF3A6D">
      <w:pPr>
        <w:ind w:left="2833" w:hangingChars="1176" w:hanging="2833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56DA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（１）</w:t>
      </w:r>
      <w:r w:rsidR="00FE29B8" w:rsidRPr="008D2811">
        <w:rPr>
          <w:rFonts w:ascii="ＭＳ ゴシック" w:eastAsia="ＭＳ ゴシック" w:hAnsi="ＭＳ ゴシック" w:cs="Times New Roman" w:hint="eastAsia"/>
          <w:b/>
          <w:spacing w:val="45"/>
          <w:kern w:val="0"/>
          <w:sz w:val="24"/>
          <w:szCs w:val="24"/>
          <w:fitText w:val="1687" w:id="-1682804992"/>
        </w:rPr>
        <w:t>策定の</w:t>
      </w:r>
      <w:r w:rsidRPr="008D2811">
        <w:rPr>
          <w:rFonts w:ascii="ＭＳ ゴシック" w:eastAsia="ＭＳ ゴシック" w:hAnsi="ＭＳ ゴシック" w:cs="Times New Roman" w:hint="eastAsia"/>
          <w:b/>
          <w:spacing w:val="45"/>
          <w:kern w:val="0"/>
          <w:sz w:val="24"/>
          <w:szCs w:val="24"/>
          <w:fitText w:val="1687" w:id="-1682804992"/>
        </w:rPr>
        <w:t>目</w:t>
      </w:r>
      <w:r w:rsidRPr="008D2811">
        <w:rPr>
          <w:rFonts w:ascii="ＭＳ ゴシック" w:eastAsia="ＭＳ ゴシック" w:hAnsi="ＭＳ ゴシック" w:cs="Times New Roman" w:hint="eastAsia"/>
          <w:b/>
          <w:spacing w:val="22"/>
          <w:kern w:val="0"/>
          <w:sz w:val="24"/>
          <w:szCs w:val="24"/>
          <w:fitText w:val="1687" w:id="-1682804992"/>
        </w:rPr>
        <w:t>的</w:t>
      </w:r>
      <w:r w:rsidR="00FE29B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</w:p>
    <w:p w:rsidR="005A3721" w:rsidRDefault="00C878B8" w:rsidP="00C878B8">
      <w:pPr>
        <w:ind w:left="424" w:hangingChars="176" w:hanging="424"/>
        <w:rPr>
          <w:rFonts w:ascii="ＭＳ 明朝" w:eastAsia="ＭＳ 明朝" w:hAnsi="Century" w:cs="Times New Roman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</w:t>
      </w:r>
      <w:r w:rsidR="00FE29B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="00BB311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脳卒中や心臓病などの</w:t>
      </w:r>
      <w:r w:rsidR="004C1B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循環器病</w:t>
      </w:r>
      <w:r w:rsidR="00BB311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は、</w:t>
      </w:r>
      <w:r w:rsidR="004C1B98" w:rsidRPr="006E1EC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死亡</w:t>
      </w:r>
      <w:r w:rsidR="00BB311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や</w:t>
      </w:r>
      <w:r w:rsidR="004C1B98" w:rsidRPr="006E1EC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介護を要する状態の主要原因</w:t>
      </w:r>
      <w:r w:rsidR="00A70393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の１つ</w:t>
      </w:r>
      <w:r w:rsidR="004C1B98" w:rsidRPr="006E1EC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とな</w:t>
      </w:r>
      <w:r w:rsidR="004C1B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っていること</w:t>
      </w:r>
      <w:r w:rsidR="003326A5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から</w:t>
      </w:r>
      <w:r w:rsidR="004C1B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、</w:t>
      </w:r>
      <w:r w:rsidR="003326A5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国は</w:t>
      </w:r>
      <w:r w:rsidR="006E1EC9" w:rsidRPr="006E1EC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循環器病対策を総合的かつ計画的に推進することを目的</w:t>
      </w:r>
      <w:r w:rsidR="004C1B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と</w:t>
      </w:r>
      <w:r w:rsidR="006E1EC9" w:rsidRPr="006E1EC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し</w:t>
      </w:r>
      <w:r w:rsidR="003326A5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て、</w:t>
      </w:r>
      <w:r w:rsidR="006A13A1" w:rsidRPr="006E1EC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「健康寿命の延伸を図るための脳卒中、心臓病その他の循環器病に係る対策に関する基本法」</w:t>
      </w:r>
      <w:r w:rsidR="003326A5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を定め、</w:t>
      </w:r>
      <w:r w:rsidR="006A13A1" w:rsidRPr="006E1EC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2020年10月に「循環器病対策推進基本計画」を</w:t>
      </w:r>
      <w:r w:rsidR="003326A5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策定した。これを踏まえ、本県においては</w:t>
      </w:r>
      <w:r w:rsidR="006A13A1" w:rsidRPr="006E1EC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2021</w:t>
      </w:r>
      <w:r w:rsidR="003326A5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年度中に</w:t>
      </w:r>
      <w:r w:rsidR="006E1EC9" w:rsidRPr="006E1EC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「愛知県循環器病対策推進計画」を</w:t>
      </w:r>
      <w:r w:rsidR="006A13A1" w:rsidRPr="006E1EC9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>策定する。</w:t>
      </w:r>
      <w:r w:rsidR="004C1B98">
        <w:rPr>
          <w:rFonts w:ascii="ＭＳ 明朝" w:eastAsia="ＭＳ 明朝" w:hAnsi="Century" w:cs="Times New Roman" w:hint="eastAsia"/>
          <w:color w:val="000000" w:themeColor="text1"/>
          <w:sz w:val="24"/>
          <w:szCs w:val="24"/>
        </w:rPr>
        <w:t xml:space="preserve">　　　　</w:t>
      </w:r>
    </w:p>
    <w:p w:rsidR="005275D2" w:rsidRDefault="005275D2" w:rsidP="00DF3A6D">
      <w:pPr>
        <w:rPr>
          <w:rFonts w:ascii="ＭＳ 明朝" w:eastAsia="ＭＳ 明朝" w:hAnsi="ＭＳ 明朝" w:cs="Times New Roman"/>
          <w:sz w:val="24"/>
          <w:szCs w:val="24"/>
        </w:rPr>
      </w:pPr>
    </w:p>
    <w:p w:rsidR="00C878B8" w:rsidRDefault="00FE29B8" w:rsidP="00DF3A6D">
      <w:pPr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4"/>
          <w:szCs w:val="24"/>
        </w:rPr>
      </w:pPr>
      <w:r w:rsidRPr="00FE29B8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（２）</w:t>
      </w:r>
      <w:r w:rsidR="00872ED0" w:rsidRPr="008D2811">
        <w:rPr>
          <w:rFonts w:asciiTheme="majorEastAsia" w:eastAsiaTheme="majorEastAsia" w:hAnsiTheme="majorEastAsia" w:cs="Times New Roman" w:hint="eastAsia"/>
          <w:b/>
          <w:color w:val="000000" w:themeColor="text1"/>
          <w:spacing w:val="105"/>
          <w:kern w:val="0"/>
          <w:sz w:val="24"/>
          <w:szCs w:val="24"/>
          <w:fitText w:val="1687" w:id="-1682804991"/>
        </w:rPr>
        <w:t>計画期</w:t>
      </w:r>
      <w:r w:rsidR="00872ED0" w:rsidRPr="008D2811">
        <w:rPr>
          <w:rFonts w:asciiTheme="majorEastAsia" w:eastAsiaTheme="majorEastAsia" w:hAnsiTheme="majorEastAsia" w:cs="Times New Roman" w:hint="eastAsia"/>
          <w:b/>
          <w:color w:val="000000" w:themeColor="text1"/>
          <w:spacing w:val="15"/>
          <w:kern w:val="0"/>
          <w:sz w:val="24"/>
          <w:szCs w:val="24"/>
          <w:fitText w:val="1687" w:id="-1682804991"/>
        </w:rPr>
        <w:t>間</w:t>
      </w: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4"/>
          <w:szCs w:val="24"/>
        </w:rPr>
        <w:t xml:space="preserve">　</w:t>
      </w:r>
    </w:p>
    <w:p w:rsidR="00872ED0" w:rsidRDefault="00C878B8" w:rsidP="00DF3A6D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4"/>
          <w:szCs w:val="24"/>
        </w:rPr>
        <w:t xml:space="preserve">　　</w:t>
      </w:r>
      <w:r w:rsidR="00FE29B8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4"/>
          <w:szCs w:val="24"/>
        </w:rPr>
        <w:t xml:space="preserve">　</w:t>
      </w:r>
      <w:r w:rsidR="00872ED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2021年度</w:t>
      </w:r>
      <w:r w:rsidR="00FE29B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から</w:t>
      </w:r>
      <w:r w:rsidR="00872ED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2023年度</w:t>
      </w:r>
      <w:r w:rsidR="00FE29B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まで</w:t>
      </w:r>
    </w:p>
    <w:p w:rsidR="00872ED0" w:rsidRPr="00872ED0" w:rsidRDefault="000D44CE" w:rsidP="00C878B8">
      <w:pPr>
        <w:ind w:left="991" w:hangingChars="413" w:hanging="991"/>
        <w:rPr>
          <w:rFonts w:ascii="ＭＳ 明朝" w:eastAsia="ＭＳ 明朝" w:hAnsi="ＭＳ 明朝" w:cs="Times New Roman"/>
          <w:color w:val="FF0000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D808C" wp14:editId="5F496974">
                <wp:simplePos x="0" y="0"/>
                <wp:positionH relativeFrom="margin">
                  <wp:posOffset>489585</wp:posOffset>
                </wp:positionH>
                <wp:positionV relativeFrom="paragraph">
                  <wp:posOffset>10160</wp:posOffset>
                </wp:positionV>
                <wp:extent cx="5781675" cy="7048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704850"/>
                        </a:xfrm>
                        <a:prstGeom prst="bracketPair">
                          <a:avLst>
                            <a:gd name="adj" fmla="val 1860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543BF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8.55pt;margin-top:.8pt;width:455.2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" adj="4019" strokeweight=".5pt">
                <w10:wrap anchorx="margin"/>
              </v:shape>
            </w:pict>
          </mc:Fallback>
        </mc:AlternateContent>
      </w:r>
      <w:r w:rsidR="00872ED0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　　</w:t>
      </w:r>
      <w:r w:rsidR="00C878B8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 xml:space="preserve">　</w:t>
      </w:r>
      <w:r w:rsidR="00872ED0" w:rsidRPr="006E1EC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計画</w:t>
      </w:r>
      <w:r w:rsidR="00872ED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期間は通常６年間であるが</w:t>
      </w:r>
      <w:r w:rsidR="00872ED0" w:rsidRPr="006E1EC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、</w:t>
      </w:r>
      <w:r w:rsidR="00872ED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「愛知県地域保健</w:t>
      </w:r>
      <w:r w:rsidR="00872ED0" w:rsidRPr="006E1EC9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医療計画</w:t>
      </w:r>
      <w:r w:rsidR="00872ED0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（2018年度～2023年度）」や「愛知県高齢者福祉保健医療計画（2021年度～2023年度）」の計画見直しサイクルに合わせるため、今回は３年間とする。</w:t>
      </w:r>
    </w:p>
    <w:p w:rsidR="000C3828" w:rsidRDefault="000C3828" w:rsidP="00DF3A6D">
      <w:pPr>
        <w:rPr>
          <w:rFonts w:ascii="ＭＳ 明朝" w:eastAsia="ＭＳ 明朝" w:hAnsi="ＭＳ 明朝" w:cs="Times New Roman"/>
          <w:sz w:val="24"/>
          <w:szCs w:val="24"/>
        </w:rPr>
      </w:pPr>
    </w:p>
    <w:p w:rsidR="000D44CE" w:rsidRPr="000D44CE" w:rsidRDefault="000D44CE" w:rsidP="000D44CE">
      <w:pPr>
        <w:rPr>
          <w:rFonts w:asciiTheme="majorEastAsia" w:eastAsiaTheme="majorEastAsia" w:hAnsiTheme="majorEastAsia" w:cs="Times New Roman"/>
          <w:b/>
          <w:sz w:val="24"/>
          <w:szCs w:val="24"/>
        </w:rPr>
      </w:pPr>
      <w:r w:rsidRPr="000D44CE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（３）策定に係る体制</w:t>
      </w:r>
    </w:p>
    <w:p w:rsidR="000D44CE" w:rsidRPr="000D44CE" w:rsidRDefault="000D44CE" w:rsidP="000D44CE">
      <w:pPr>
        <w:ind w:firstLineChars="295" w:firstLine="708"/>
        <w:rPr>
          <w:rFonts w:ascii="ＭＳ 明朝" w:eastAsia="ＭＳ 明朝" w:hAnsi="ＭＳ 明朝" w:cs="Times New Roman"/>
          <w:sz w:val="24"/>
          <w:szCs w:val="24"/>
        </w:rPr>
      </w:pPr>
      <w:r w:rsidRPr="000D44CE">
        <w:rPr>
          <w:rFonts w:ascii="ＭＳ 明朝" w:eastAsia="ＭＳ 明朝" w:hAnsi="ＭＳ 明朝" w:cs="Times New Roman" w:hint="eastAsia"/>
          <w:sz w:val="24"/>
          <w:szCs w:val="24"/>
        </w:rPr>
        <w:t>愛知県循環器</w:t>
      </w:r>
      <w:r w:rsidR="00E4594A">
        <w:rPr>
          <w:rFonts w:ascii="ＭＳ 明朝" w:eastAsia="ＭＳ 明朝" w:hAnsi="ＭＳ 明朝" w:cs="Times New Roman" w:hint="eastAsia"/>
          <w:sz w:val="24"/>
          <w:szCs w:val="24"/>
        </w:rPr>
        <w:t>病</w:t>
      </w:r>
      <w:r w:rsidRPr="000D44CE">
        <w:rPr>
          <w:rFonts w:ascii="ＭＳ 明朝" w:eastAsia="ＭＳ 明朝" w:hAnsi="ＭＳ 明朝" w:cs="Times New Roman" w:hint="eastAsia"/>
          <w:sz w:val="24"/>
          <w:szCs w:val="24"/>
        </w:rPr>
        <w:t>対策推進協議会を設置</w:t>
      </w:r>
    </w:p>
    <w:p w:rsidR="000D44CE" w:rsidRDefault="000D44CE" w:rsidP="000D44CE">
      <w:pPr>
        <w:spacing w:line="300" w:lineRule="exact"/>
        <w:ind w:left="991" w:hangingChars="413" w:hanging="991"/>
        <w:rPr>
          <w:rFonts w:ascii="ＭＳ 明朝" w:eastAsia="ＭＳ 明朝" w:hAnsi="ＭＳ 明朝" w:cs="Times New Roman"/>
          <w:sz w:val="24"/>
          <w:szCs w:val="24"/>
        </w:rPr>
      </w:pPr>
      <w:r w:rsidRPr="000D44CE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0D44CE">
        <w:rPr>
          <w:rFonts w:ascii="ＭＳ 明朝" w:eastAsia="ＭＳ 明朝" w:hAnsi="ＭＳ 明朝" w:cs="Times New Roman" w:hint="eastAsia"/>
          <w:szCs w:val="24"/>
        </w:rPr>
        <w:t>※名古屋大学循環器内科学教授、同大学心臓外科学教授、名古屋市立大学病院長(脳神経外科学教授)、県医師会理事、県歯科医師会副会長、県居宅介護支援事業所連絡協議会常任理事、心臓病経験者、脳卒中経験者　など２０名</w:t>
      </w:r>
    </w:p>
    <w:p w:rsidR="000D44CE" w:rsidRDefault="000D44CE" w:rsidP="00DF3A6D">
      <w:pPr>
        <w:rPr>
          <w:rFonts w:ascii="ＭＳ 明朝" w:eastAsia="ＭＳ 明朝" w:hAnsi="ＭＳ 明朝" w:cs="Times New Roman"/>
          <w:sz w:val="24"/>
          <w:szCs w:val="24"/>
        </w:rPr>
      </w:pPr>
    </w:p>
    <w:p w:rsidR="00C878B8" w:rsidRDefault="00FE29B8" w:rsidP="00DF3A6D">
      <w:pPr>
        <w:rPr>
          <w:rFonts w:ascii="ＭＳ ゴシック" w:eastAsia="ＭＳ ゴシック" w:hAnsi="ＭＳ ゴシック" w:cs="Times New Roman"/>
          <w:b/>
          <w:kern w:val="0"/>
          <w:sz w:val="24"/>
          <w:szCs w:val="24"/>
        </w:rPr>
      </w:pPr>
      <w:r w:rsidRPr="00156DA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</w:t>
      </w:r>
      <w:r w:rsidR="000D44C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４</w:t>
      </w:r>
      <w:r w:rsidRPr="00156DA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）</w:t>
      </w:r>
      <w:r w:rsidR="00860279" w:rsidRPr="008D2811">
        <w:rPr>
          <w:rFonts w:ascii="ＭＳ ゴシック" w:eastAsia="ＭＳ ゴシック" w:hAnsi="ＭＳ ゴシック" w:cs="Times New Roman" w:hint="eastAsia"/>
          <w:b/>
          <w:spacing w:val="45"/>
          <w:kern w:val="0"/>
          <w:sz w:val="24"/>
          <w:szCs w:val="24"/>
          <w:fitText w:val="1687" w:id="-1682778112"/>
        </w:rPr>
        <w:t>全体目標</w:t>
      </w:r>
      <w:r w:rsidR="00B46657" w:rsidRPr="008D2811">
        <w:rPr>
          <w:rFonts w:ascii="ＭＳ ゴシック" w:eastAsia="ＭＳ ゴシック" w:hAnsi="ＭＳ ゴシック" w:cs="Times New Roman" w:hint="eastAsia"/>
          <w:b/>
          <w:spacing w:val="22"/>
          <w:kern w:val="0"/>
          <w:sz w:val="24"/>
          <w:szCs w:val="24"/>
          <w:fitText w:val="1687" w:id="-1682778112"/>
        </w:rPr>
        <w:t>等</w:t>
      </w:r>
      <w:r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 xml:space="preserve">　</w:t>
      </w:r>
    </w:p>
    <w:p w:rsidR="00FE29B8" w:rsidRDefault="00C878B8" w:rsidP="00C878B8">
      <w:pPr>
        <w:ind w:left="2409" w:hangingChars="1000" w:hanging="2409"/>
        <w:rPr>
          <w:rFonts w:asciiTheme="minorEastAsia" w:hAnsiTheme="minorEastAsia" w:cs="Times New Roman"/>
          <w:kern w:val="0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 xml:space="preserve">　　</w:t>
      </w:r>
      <w:r w:rsidR="00FE29B8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</w:rPr>
        <w:t xml:space="preserve">　</w:t>
      </w:r>
      <w:r w:rsidR="00775AF3">
        <w:rPr>
          <w:rFonts w:ascii="ＭＳ 明朝" w:eastAsia="ＭＳ 明朝" w:hAnsi="ＭＳ 明朝" w:cs="Times New Roman" w:hint="eastAsia"/>
          <w:kern w:val="0"/>
          <w:sz w:val="24"/>
          <w:szCs w:val="24"/>
        </w:rPr>
        <w:t>【</w:t>
      </w:r>
      <w:r w:rsidR="00B46657" w:rsidRPr="00B46657">
        <w:rPr>
          <w:rFonts w:asciiTheme="minorEastAsia" w:hAnsiTheme="minorEastAsia" w:cs="Times New Roman" w:hint="eastAsia"/>
          <w:kern w:val="0"/>
          <w:sz w:val="24"/>
          <w:szCs w:val="24"/>
        </w:rPr>
        <w:t>全体目標</w:t>
      </w:r>
      <w:r w:rsidR="00775AF3">
        <w:rPr>
          <w:rFonts w:asciiTheme="minorEastAsia" w:hAnsiTheme="minorEastAsia" w:cs="Times New Roman" w:hint="eastAsia"/>
          <w:kern w:val="0"/>
          <w:sz w:val="24"/>
          <w:szCs w:val="24"/>
        </w:rPr>
        <w:t>】</w:t>
      </w:r>
      <w:r w:rsidR="00E4594A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="00FE29B8" w:rsidRPr="00FE29B8">
        <w:rPr>
          <w:rFonts w:asciiTheme="minorEastAsia" w:hAnsiTheme="minorEastAsia" w:cs="Times New Roman" w:hint="eastAsia"/>
          <w:kern w:val="0"/>
          <w:sz w:val="24"/>
          <w:szCs w:val="24"/>
        </w:rPr>
        <w:t>2040年までに、</w:t>
      </w:r>
      <w:r w:rsidR="000039FA">
        <w:rPr>
          <w:rFonts w:asciiTheme="minorEastAsia" w:hAnsiTheme="minorEastAsia" w:cs="Times New Roman" w:hint="eastAsia"/>
          <w:kern w:val="0"/>
          <w:sz w:val="24"/>
          <w:szCs w:val="24"/>
        </w:rPr>
        <w:t>３</w:t>
      </w:r>
      <w:r w:rsidR="00FE29B8" w:rsidRPr="00FE29B8">
        <w:rPr>
          <w:rFonts w:asciiTheme="minorEastAsia" w:hAnsiTheme="minorEastAsia" w:cs="Times New Roman" w:hint="eastAsia"/>
          <w:kern w:val="0"/>
          <w:sz w:val="24"/>
          <w:szCs w:val="24"/>
        </w:rPr>
        <w:t>年以上の健康寿命の延伸及び循環器病の年齢調整死亡率の減少</w:t>
      </w:r>
    </w:p>
    <w:p w:rsidR="00FE29B8" w:rsidRDefault="00C878B8" w:rsidP="00C878B8">
      <w:pPr>
        <w:rPr>
          <w:rFonts w:asciiTheme="minorEastAsia" w:hAnsiTheme="minorEastAsia" w:cs="Times New Roman"/>
          <w:sz w:val="24"/>
          <w:szCs w:val="24"/>
        </w:rPr>
      </w:pPr>
      <w:bookmarkStart w:id="0" w:name="_Hlk88468458"/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="00775AF3">
        <w:rPr>
          <w:rFonts w:ascii="ＭＳ 明朝" w:eastAsia="ＭＳ 明朝" w:hAnsi="ＭＳ 明朝" w:cs="Times New Roman" w:hint="eastAsia"/>
          <w:sz w:val="24"/>
          <w:szCs w:val="24"/>
        </w:rPr>
        <w:t>《</w:t>
      </w:r>
      <w:r w:rsidR="00FE29B8" w:rsidRPr="00FE29B8">
        <w:rPr>
          <w:rFonts w:asciiTheme="minorEastAsia" w:hAnsiTheme="minorEastAsia" w:cs="Times New Roman" w:hint="eastAsia"/>
          <w:sz w:val="24"/>
          <w:szCs w:val="24"/>
        </w:rPr>
        <w:t>基本方針Ⅰ</w:t>
      </w:r>
      <w:r w:rsidR="00775AF3">
        <w:rPr>
          <w:rFonts w:asciiTheme="minorEastAsia" w:hAnsiTheme="minorEastAsia" w:cs="Times New Roman" w:hint="eastAsia"/>
          <w:sz w:val="24"/>
          <w:szCs w:val="24"/>
        </w:rPr>
        <w:t xml:space="preserve">》　</w:t>
      </w:r>
      <w:r w:rsidR="00FE29B8" w:rsidRPr="00FE29B8">
        <w:rPr>
          <w:rFonts w:asciiTheme="minorEastAsia" w:hAnsiTheme="minorEastAsia" w:cs="Times New Roman" w:hint="eastAsia"/>
          <w:sz w:val="24"/>
          <w:szCs w:val="24"/>
        </w:rPr>
        <w:t>循環器病予防に関する取組の推進</w:t>
      </w:r>
    </w:p>
    <w:p w:rsidR="00C878B8" w:rsidRPr="00FE29B8" w:rsidRDefault="00C878B8" w:rsidP="00C878B8">
      <w:pPr>
        <w:rPr>
          <w:rFonts w:asciiTheme="minorEastAsia" w:hAnsiTheme="minorEastAsia" w:cs="Times New Roman"/>
          <w:sz w:val="24"/>
          <w:szCs w:val="24"/>
        </w:rPr>
      </w:pPr>
      <w:bookmarkStart w:id="1" w:name="_Hlk88468833"/>
      <w:bookmarkEnd w:id="0"/>
      <w:r>
        <w:rPr>
          <w:rFonts w:asciiTheme="minorEastAsia" w:hAnsiTheme="minorEastAsia" w:cs="Times New Roman" w:hint="eastAsia"/>
          <w:sz w:val="24"/>
          <w:szCs w:val="24"/>
        </w:rPr>
        <w:t xml:space="preserve">　　　　《</w:t>
      </w:r>
      <w:r w:rsidRPr="00FE29B8">
        <w:rPr>
          <w:rFonts w:asciiTheme="minorEastAsia" w:hAnsiTheme="minorEastAsia" w:cs="Times New Roman" w:hint="eastAsia"/>
          <w:sz w:val="24"/>
          <w:szCs w:val="24"/>
        </w:rPr>
        <w:t>基本方針Ⅱ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》　</w:t>
      </w:r>
      <w:r w:rsidRPr="00FE29B8">
        <w:rPr>
          <w:rFonts w:asciiTheme="minorEastAsia" w:hAnsiTheme="minorEastAsia" w:cs="Times New Roman" w:hint="eastAsia"/>
          <w:sz w:val="24"/>
          <w:szCs w:val="24"/>
        </w:rPr>
        <w:t>保健、医療及び福祉サービスの切れ目ない提供体制の整備</w:t>
      </w:r>
    </w:p>
    <w:bookmarkEnd w:id="1"/>
    <w:p w:rsidR="00FE29B8" w:rsidRPr="000006BB" w:rsidRDefault="00FE29B8" w:rsidP="00DF3A6D">
      <w:pPr>
        <w:rPr>
          <w:rFonts w:ascii="ＭＳ 明朝" w:eastAsia="ＭＳ 明朝" w:hAnsi="ＭＳ 明朝" w:cs="Times New Roman"/>
          <w:sz w:val="24"/>
          <w:szCs w:val="24"/>
        </w:rPr>
      </w:pPr>
    </w:p>
    <w:p w:rsidR="00C878B8" w:rsidRDefault="00C277E9" w:rsidP="00DF3A6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56DA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</w:t>
      </w:r>
      <w:r w:rsidR="000D44C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５</w:t>
      </w:r>
      <w:r w:rsidRPr="00156DA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）</w:t>
      </w:r>
      <w:r w:rsidR="00FE29B8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主な計画の内容</w:t>
      </w:r>
      <w:r w:rsidR="00775AF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</w:p>
    <w:p w:rsidR="00860279" w:rsidRDefault="00C878B8" w:rsidP="00C878B8">
      <w:pPr>
        <w:ind w:left="424" w:hangingChars="176" w:hanging="424"/>
        <w:rPr>
          <w:rFonts w:asciiTheme="minorEastAsia" w:hAnsiTheme="minorEastAsia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　</w:t>
      </w:r>
      <w:r w:rsidR="00775AF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 xml:space="preserve">　</w:t>
      </w:r>
      <w:r w:rsidR="00860279" w:rsidRPr="00860279">
        <w:rPr>
          <w:rFonts w:asciiTheme="minorEastAsia" w:hAnsiTheme="minorEastAsia" w:cs="Times New Roman" w:hint="eastAsia"/>
          <w:sz w:val="24"/>
          <w:szCs w:val="24"/>
        </w:rPr>
        <w:t>全体目標</w:t>
      </w:r>
      <w:r w:rsidR="00860279">
        <w:rPr>
          <w:rFonts w:asciiTheme="minorEastAsia" w:hAnsiTheme="minorEastAsia" w:cs="Times New Roman" w:hint="eastAsia"/>
          <w:sz w:val="24"/>
          <w:szCs w:val="24"/>
        </w:rPr>
        <w:t>の達成に向けて、２つの基本方針に基づき、循環器病に関する取組を推進する。</w:t>
      </w:r>
    </w:p>
    <w:p w:rsidR="00775AF3" w:rsidRPr="00775AF3" w:rsidRDefault="00775AF3" w:rsidP="00DF3A6D">
      <w:pPr>
        <w:rPr>
          <w:rFonts w:ascii="ＭＳ 明朝" w:eastAsia="ＭＳ 明朝" w:hAnsi="ＭＳ 明朝" w:cs="Times New Roman"/>
          <w:sz w:val="24"/>
          <w:szCs w:val="24"/>
        </w:rPr>
      </w:pPr>
    </w:p>
    <w:p w:rsidR="00775AF3" w:rsidRDefault="00C277E9" w:rsidP="00DF3A6D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75AF3">
        <w:rPr>
          <w:rFonts w:ascii="ＭＳ 明朝" w:eastAsia="ＭＳ 明朝" w:hAnsi="ＭＳ 明朝" w:cs="Times New Roman" w:hint="eastAsia"/>
          <w:sz w:val="24"/>
          <w:szCs w:val="24"/>
        </w:rPr>
        <w:t>《</w:t>
      </w:r>
      <w:r w:rsidR="00775AF3" w:rsidRPr="00FE29B8">
        <w:rPr>
          <w:rFonts w:asciiTheme="minorEastAsia" w:hAnsiTheme="minorEastAsia" w:cs="Times New Roman" w:hint="eastAsia"/>
          <w:sz w:val="24"/>
          <w:szCs w:val="24"/>
        </w:rPr>
        <w:t>基本方針Ⅰ</w:t>
      </w:r>
      <w:r w:rsidR="00775AF3">
        <w:rPr>
          <w:rFonts w:asciiTheme="minorEastAsia" w:hAnsiTheme="minorEastAsia" w:cs="Times New Roman" w:hint="eastAsia"/>
          <w:sz w:val="24"/>
          <w:szCs w:val="24"/>
        </w:rPr>
        <w:t xml:space="preserve">》　</w:t>
      </w:r>
      <w:r w:rsidR="00775AF3" w:rsidRPr="00FE29B8">
        <w:rPr>
          <w:rFonts w:asciiTheme="minorEastAsia" w:hAnsiTheme="minorEastAsia" w:cs="Times New Roman" w:hint="eastAsia"/>
          <w:sz w:val="24"/>
          <w:szCs w:val="24"/>
        </w:rPr>
        <w:t>循環器病予防に関する取組の推進</w:t>
      </w:r>
    </w:p>
    <w:tbl>
      <w:tblPr>
        <w:tblStyle w:val="a9"/>
        <w:tblW w:w="9356" w:type="dxa"/>
        <w:tblInd w:w="562" w:type="dxa"/>
        <w:tblLook w:val="04A0" w:firstRow="1" w:lastRow="0" w:firstColumn="1" w:lastColumn="0" w:noHBand="0" w:noVBand="1"/>
      </w:tblPr>
      <w:tblGrid>
        <w:gridCol w:w="3558"/>
        <w:gridCol w:w="5798"/>
      </w:tblGrid>
      <w:tr w:rsidR="00595216" w:rsidTr="00C878B8">
        <w:tc>
          <w:tcPr>
            <w:tcW w:w="3558" w:type="dxa"/>
          </w:tcPr>
          <w:p w:rsidR="00595216" w:rsidRDefault="00595216" w:rsidP="000A161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個別施策</w:t>
            </w:r>
          </w:p>
        </w:tc>
        <w:tc>
          <w:tcPr>
            <w:tcW w:w="5798" w:type="dxa"/>
          </w:tcPr>
          <w:p w:rsidR="00595216" w:rsidRDefault="00595216" w:rsidP="000A161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主な内容</w:t>
            </w:r>
          </w:p>
        </w:tc>
      </w:tr>
      <w:tr w:rsidR="00595216" w:rsidTr="00C878B8">
        <w:trPr>
          <w:trHeight w:val="770"/>
        </w:trPr>
        <w:tc>
          <w:tcPr>
            <w:tcW w:w="3558" w:type="dxa"/>
          </w:tcPr>
          <w:p w:rsidR="00595216" w:rsidRPr="00595216" w:rsidRDefault="000A1610" w:rsidP="00DE5C6A">
            <w:pPr>
              <w:spacing w:line="340" w:lineRule="exact"/>
              <w:ind w:left="600" w:hangingChars="250" w:hanging="60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="00595216" w:rsidRPr="00595216">
              <w:rPr>
                <w:rFonts w:ascii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595216" w:rsidRPr="00595216">
              <w:rPr>
                <w:rFonts w:ascii="ＭＳ 明朝" w:hAnsi="ＭＳ 明朝" w:hint="eastAsia"/>
                <w:sz w:val="24"/>
                <w:szCs w:val="24"/>
              </w:rPr>
              <w:t>循環器病の予防や正しい知識に関する普及啓発</w:t>
            </w:r>
          </w:p>
        </w:tc>
        <w:tc>
          <w:tcPr>
            <w:tcW w:w="5798" w:type="dxa"/>
          </w:tcPr>
          <w:p w:rsidR="00595216" w:rsidRPr="00595216" w:rsidRDefault="00595216" w:rsidP="00DE5C6A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5952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循環器病の予防に必要な知識の普及啓発</w:t>
            </w:r>
          </w:p>
          <w:p w:rsidR="00595216" w:rsidRDefault="00595216" w:rsidP="00DE5C6A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5952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循環器病の症状や発症時の対応に関する普及啓発</w:t>
            </w:r>
          </w:p>
        </w:tc>
      </w:tr>
      <w:tr w:rsidR="00595216" w:rsidTr="000D44CE">
        <w:trPr>
          <w:trHeight w:val="416"/>
        </w:trPr>
        <w:tc>
          <w:tcPr>
            <w:tcW w:w="3558" w:type="dxa"/>
          </w:tcPr>
          <w:p w:rsidR="00595216" w:rsidRDefault="000A1610" w:rsidP="00DE5C6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</w:t>
            </w:r>
            <w:r w:rsidR="00595216" w:rsidRPr="005952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="00595216" w:rsidRPr="005952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健診の推進</w:t>
            </w:r>
          </w:p>
        </w:tc>
        <w:tc>
          <w:tcPr>
            <w:tcW w:w="5798" w:type="dxa"/>
          </w:tcPr>
          <w:p w:rsidR="00595216" w:rsidRPr="00595216" w:rsidRDefault="00595216" w:rsidP="00C878B8">
            <w:pPr>
              <w:spacing w:line="340" w:lineRule="exact"/>
              <w:ind w:left="166" w:hangingChars="69" w:hanging="16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952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・特定健康診査・特定保健指導の実施率向上のための取組の推進</w:t>
            </w:r>
          </w:p>
          <w:p w:rsidR="00595216" w:rsidRDefault="00595216" w:rsidP="00C878B8">
            <w:pPr>
              <w:spacing w:line="340" w:lineRule="exact"/>
              <w:ind w:left="166" w:hangingChars="69" w:hanging="16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9521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・健診結果を活用した生活習慣病の発症予防・重症化予防の取組の推進</w:t>
            </w:r>
          </w:p>
        </w:tc>
      </w:tr>
    </w:tbl>
    <w:p w:rsidR="001660F2" w:rsidRDefault="00284CA6" w:rsidP="00DF3A6D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4852035</wp:posOffset>
                </wp:positionH>
                <wp:positionV relativeFrom="paragraph">
                  <wp:posOffset>-167640</wp:posOffset>
                </wp:positionV>
                <wp:extent cx="1228725" cy="3619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4CA6" w:rsidRPr="005109F7" w:rsidRDefault="00284CA6" w:rsidP="00284CA6">
                            <w:pPr>
                              <w:spacing w:line="32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09F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="005109F7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5E0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382.05pt;margin-top:-13.2pt;width:96.75pt;height:2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" filled="f" strokecolor="black [3213]">
                <v:textbox>
                  <w:txbxContent>
                    <w:p w:rsidR="00284CA6" w:rsidRPr="005109F7" w:rsidRDefault="00284CA6" w:rsidP="00284CA6">
                      <w:pPr>
                        <w:spacing w:line="32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5109F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="005109F7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6B5E0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３－１</w:t>
                      </w:r>
                    </w:p>
                  </w:txbxContent>
                </v:textbox>
              </v:rect>
            </w:pict>
          </mc:Fallback>
        </mc:AlternateContent>
      </w:r>
    </w:p>
    <w:p w:rsidR="00AC7E11" w:rsidRDefault="00AC7E11" w:rsidP="00DF3A6D">
      <w:pPr>
        <w:rPr>
          <w:rFonts w:asciiTheme="minorEastAsia" w:hAnsiTheme="minorEastAsia" w:cs="Times New Roman"/>
          <w:sz w:val="24"/>
          <w:szCs w:val="24"/>
        </w:rPr>
      </w:pPr>
    </w:p>
    <w:p w:rsidR="00BE665F" w:rsidRDefault="00BE665F" w:rsidP="00DF3A6D">
      <w:pPr>
        <w:rPr>
          <w:rFonts w:asciiTheme="minorEastAsia" w:hAnsiTheme="minorEastAsia" w:cs="Times New Roman"/>
          <w:sz w:val="24"/>
          <w:szCs w:val="24"/>
        </w:rPr>
      </w:pPr>
    </w:p>
    <w:p w:rsidR="00595216" w:rsidRPr="00FE29B8" w:rsidRDefault="00595216" w:rsidP="00DF3A6D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《</w:t>
      </w:r>
      <w:r w:rsidRPr="00FE29B8">
        <w:rPr>
          <w:rFonts w:asciiTheme="minorEastAsia" w:hAnsiTheme="minorEastAsia" w:cs="Times New Roman" w:hint="eastAsia"/>
          <w:sz w:val="24"/>
          <w:szCs w:val="24"/>
        </w:rPr>
        <w:t>基本方針Ⅱ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》　</w:t>
      </w:r>
      <w:r w:rsidRPr="00FE29B8">
        <w:rPr>
          <w:rFonts w:asciiTheme="minorEastAsia" w:hAnsiTheme="minorEastAsia" w:cs="Times New Roman" w:hint="eastAsia"/>
          <w:sz w:val="24"/>
          <w:szCs w:val="24"/>
        </w:rPr>
        <w:t>保健、医療及び福祉サービスの切れ目ない提供体制の整備</w:t>
      </w:r>
    </w:p>
    <w:tbl>
      <w:tblPr>
        <w:tblStyle w:val="a9"/>
        <w:tblW w:w="9356" w:type="dxa"/>
        <w:tblInd w:w="562" w:type="dxa"/>
        <w:tblLook w:val="04A0" w:firstRow="1" w:lastRow="0" w:firstColumn="1" w:lastColumn="0" w:noHBand="0" w:noVBand="1"/>
      </w:tblPr>
      <w:tblGrid>
        <w:gridCol w:w="1843"/>
        <w:gridCol w:w="2182"/>
        <w:gridCol w:w="5331"/>
      </w:tblGrid>
      <w:tr w:rsidR="00455DFD" w:rsidTr="00AC7E11">
        <w:tc>
          <w:tcPr>
            <w:tcW w:w="4025" w:type="dxa"/>
            <w:gridSpan w:val="2"/>
          </w:tcPr>
          <w:p w:rsidR="00455DFD" w:rsidRDefault="00455DFD" w:rsidP="000A161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個別施策</w:t>
            </w:r>
          </w:p>
        </w:tc>
        <w:tc>
          <w:tcPr>
            <w:tcW w:w="5331" w:type="dxa"/>
          </w:tcPr>
          <w:p w:rsidR="00455DFD" w:rsidRDefault="00455DFD" w:rsidP="000A161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主な内容</w:t>
            </w:r>
          </w:p>
        </w:tc>
      </w:tr>
      <w:tr w:rsidR="00455DFD" w:rsidTr="000D44CE">
        <w:tc>
          <w:tcPr>
            <w:tcW w:w="1843" w:type="dxa"/>
            <w:vMerge w:val="restart"/>
            <w:tcBorders>
              <w:top w:val="nil"/>
            </w:tcBorders>
          </w:tcPr>
          <w:p w:rsidR="00455DFD" w:rsidRDefault="000A1610" w:rsidP="00DE5C6A">
            <w:pPr>
              <w:spacing w:line="340" w:lineRule="exact"/>
              <w:ind w:left="458" w:hangingChars="191" w:hanging="45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</w:t>
            </w:r>
            <w:r w:rsidRPr="000A16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A16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循環器病に係る医療体制整備の推進</w:t>
            </w:r>
          </w:p>
        </w:tc>
        <w:tc>
          <w:tcPr>
            <w:tcW w:w="2182" w:type="dxa"/>
            <w:vAlign w:val="center"/>
          </w:tcPr>
          <w:p w:rsidR="00455DFD" w:rsidRDefault="00455DFD" w:rsidP="000D44CE">
            <w:pPr>
              <w:ind w:left="314" w:hangingChars="131" w:hanging="31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5D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 救急搬送体制の整備</w:t>
            </w:r>
          </w:p>
        </w:tc>
        <w:tc>
          <w:tcPr>
            <w:tcW w:w="5331" w:type="dxa"/>
            <w:vAlign w:val="center"/>
          </w:tcPr>
          <w:p w:rsidR="00455DFD" w:rsidRDefault="00455DFD" w:rsidP="00DE5C6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455D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速やかな搬送体制の整備</w:t>
            </w:r>
          </w:p>
        </w:tc>
      </w:tr>
      <w:tr w:rsidR="00455DFD" w:rsidTr="000D44CE">
        <w:trPr>
          <w:trHeight w:val="771"/>
        </w:trPr>
        <w:tc>
          <w:tcPr>
            <w:tcW w:w="1843" w:type="dxa"/>
            <w:vMerge/>
          </w:tcPr>
          <w:p w:rsidR="00455DFD" w:rsidRDefault="00455DFD" w:rsidP="00DE5C6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455DFD" w:rsidRDefault="00455DFD" w:rsidP="000D44CE">
            <w:pPr>
              <w:ind w:left="314" w:hangingChars="131" w:hanging="314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5D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 医療提供体制の整備</w:t>
            </w:r>
          </w:p>
        </w:tc>
        <w:tc>
          <w:tcPr>
            <w:tcW w:w="5331" w:type="dxa"/>
          </w:tcPr>
          <w:p w:rsidR="00455DFD" w:rsidRDefault="00455DFD" w:rsidP="000606BA">
            <w:pPr>
              <w:spacing w:line="340" w:lineRule="exact"/>
              <w:ind w:left="173" w:hangingChars="72" w:hanging="173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455D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発症直後から在宅療養に至るまで、病期に応じた適切な医療やリハビリテーションを提供するための医療体制の整備</w:t>
            </w:r>
          </w:p>
        </w:tc>
      </w:tr>
      <w:tr w:rsidR="004F68E7" w:rsidTr="000D44CE">
        <w:tc>
          <w:tcPr>
            <w:tcW w:w="1843" w:type="dxa"/>
            <w:vMerge w:val="restart"/>
            <w:tcBorders>
              <w:top w:val="nil"/>
            </w:tcBorders>
          </w:tcPr>
          <w:p w:rsidR="004F68E7" w:rsidRDefault="000A1610" w:rsidP="00DE5C6A">
            <w:pPr>
              <w:spacing w:line="340" w:lineRule="exact"/>
              <w:ind w:left="458" w:hangingChars="191" w:hanging="458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</w:t>
            </w:r>
            <w:r w:rsidRPr="000A16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)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0A16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循環器病患者等を支えるための多職種連携の推進</w:t>
            </w:r>
          </w:p>
        </w:tc>
        <w:tc>
          <w:tcPr>
            <w:tcW w:w="2182" w:type="dxa"/>
          </w:tcPr>
          <w:p w:rsidR="004F68E7" w:rsidRPr="00455DFD" w:rsidRDefault="004F68E7" w:rsidP="00DE5C6A">
            <w:pPr>
              <w:spacing w:line="340" w:lineRule="exact"/>
              <w:ind w:left="322" w:hangingChars="134" w:hanging="32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5D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 循環器病に関する適切な情報提供及び相談支援の推進</w:t>
            </w:r>
          </w:p>
        </w:tc>
        <w:tc>
          <w:tcPr>
            <w:tcW w:w="5331" w:type="dxa"/>
            <w:vAlign w:val="center"/>
          </w:tcPr>
          <w:p w:rsidR="004F68E7" w:rsidRPr="004F68E7" w:rsidRDefault="004F68E7" w:rsidP="00AC7E11">
            <w:pPr>
              <w:spacing w:line="340" w:lineRule="exact"/>
              <w:ind w:left="266" w:hangingChars="111" w:hanging="26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4F68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循環器病の療養生活に必要な情報提供の促進や相談支援の推進</w:t>
            </w:r>
          </w:p>
        </w:tc>
      </w:tr>
      <w:tr w:rsidR="004F68E7" w:rsidTr="000D44CE">
        <w:trPr>
          <w:trHeight w:val="2464"/>
        </w:trPr>
        <w:tc>
          <w:tcPr>
            <w:tcW w:w="1843" w:type="dxa"/>
            <w:vMerge/>
          </w:tcPr>
          <w:p w:rsidR="004F68E7" w:rsidRDefault="004F68E7" w:rsidP="00DE5C6A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4F68E7" w:rsidRPr="00455DFD" w:rsidRDefault="004F68E7" w:rsidP="00DE5C6A">
            <w:pPr>
              <w:spacing w:line="340" w:lineRule="exact"/>
              <w:ind w:left="322" w:hangingChars="134" w:hanging="32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55DF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② ライフステージに応じた循環器病対策の推進</w:t>
            </w:r>
          </w:p>
        </w:tc>
        <w:tc>
          <w:tcPr>
            <w:tcW w:w="5331" w:type="dxa"/>
          </w:tcPr>
          <w:p w:rsidR="004F68E7" w:rsidRPr="004F68E7" w:rsidRDefault="004F68E7" w:rsidP="000606BA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68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ア　小児期・若年期の循環器病対策</w:t>
            </w:r>
          </w:p>
          <w:p w:rsidR="004F68E7" w:rsidRPr="004F68E7" w:rsidRDefault="004F68E7" w:rsidP="00AC7E11">
            <w:pPr>
              <w:spacing w:line="340" w:lineRule="exact"/>
              <w:ind w:leftChars="229" w:left="692" w:hangingChars="88" w:hanging="211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4F68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小児から成人までの切れ目ない医療体制の整備や支援の充実</w:t>
            </w:r>
          </w:p>
          <w:p w:rsidR="004F68E7" w:rsidRPr="004F68E7" w:rsidRDefault="004F68E7" w:rsidP="000606BA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68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イ　働く世代の循環器病対策</w:t>
            </w:r>
          </w:p>
          <w:p w:rsidR="004F68E7" w:rsidRPr="004F68E7" w:rsidRDefault="004F68E7" w:rsidP="000606BA">
            <w:pPr>
              <w:spacing w:line="340" w:lineRule="exact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4F68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治療と仕事の両立支援の推進・就労支援</w:t>
            </w:r>
          </w:p>
          <w:p w:rsidR="004F68E7" w:rsidRPr="004F68E7" w:rsidRDefault="004F68E7" w:rsidP="000606BA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F68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ウ　高齢期の循環器病対策</w:t>
            </w:r>
          </w:p>
          <w:p w:rsidR="004F68E7" w:rsidRPr="004F68E7" w:rsidRDefault="004F68E7" w:rsidP="000606BA">
            <w:pPr>
              <w:spacing w:line="340" w:lineRule="exact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4F68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地域包括ケアに係る取組の推進</w:t>
            </w:r>
          </w:p>
          <w:p w:rsidR="004F68E7" w:rsidRDefault="004F68E7" w:rsidP="000606BA">
            <w:pPr>
              <w:spacing w:line="340" w:lineRule="exact"/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・</w:t>
            </w:r>
            <w:r w:rsidRPr="004F68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緩和ケアの推進</w:t>
            </w:r>
          </w:p>
        </w:tc>
      </w:tr>
    </w:tbl>
    <w:p w:rsidR="00775AF3" w:rsidRDefault="00775AF3" w:rsidP="000A1610">
      <w:pPr>
        <w:rPr>
          <w:rFonts w:ascii="ＭＳ 明朝" w:eastAsia="ＭＳ 明朝" w:hAnsi="ＭＳ 明朝" w:cs="Times New Roman"/>
          <w:sz w:val="24"/>
          <w:szCs w:val="24"/>
        </w:rPr>
      </w:pPr>
    </w:p>
    <w:p w:rsidR="00B877BA" w:rsidRPr="00156DAA" w:rsidRDefault="00B877BA" w:rsidP="00DF3A6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56DA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</w:t>
      </w:r>
      <w:r w:rsidR="000D44C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６</w:t>
      </w:r>
      <w:r w:rsidR="00AC3F72" w:rsidRPr="00156DA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）</w:t>
      </w:r>
      <w:r w:rsidR="00CD0383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計画公表までの経過</w:t>
      </w:r>
    </w:p>
    <w:p w:rsidR="00847675" w:rsidRPr="00391892" w:rsidRDefault="008312DA" w:rsidP="00DF3A6D">
      <w:pPr>
        <w:ind w:leftChars="350" w:left="735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2021年</w:t>
      </w:r>
      <w:r w:rsidR="00847675" w:rsidRPr="0039189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６月</w:t>
      </w:r>
      <w:r w:rsidR="001D537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47675" w:rsidRPr="0039189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１日（火）　</w:t>
      </w:r>
      <w:r w:rsidR="000C38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C878B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 </w:t>
      </w:r>
      <w:r w:rsidR="00847675" w:rsidRPr="0039189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第１回循環器病対策推進協議会《骨子検討》</w:t>
      </w:r>
    </w:p>
    <w:p w:rsidR="00A97F14" w:rsidRDefault="00A97F14" w:rsidP="00A97F14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</w:t>
      </w:r>
      <w:r w:rsidRPr="00A97F14">
        <w:rPr>
          <w:rFonts w:ascii="ＭＳ 明朝" w:eastAsia="ＭＳ 明朝" w:hAnsi="ＭＳ 明朝" w:cs="Times New Roman" w:hint="eastAsia"/>
          <w:color w:val="000000" w:themeColor="text1"/>
          <w:w w:val="66"/>
          <w:sz w:val="24"/>
          <w:szCs w:val="24"/>
        </w:rPr>
        <w:t xml:space="preserve"> </w:t>
      </w:r>
      <w:r w:rsidR="00847675" w:rsidRPr="0039189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８月</w:t>
      </w:r>
      <w:r w:rsidR="001D537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２０日（金）</w:t>
      </w:r>
      <w:r w:rsidR="00847675" w:rsidRPr="0039189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0C38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C878B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 </w:t>
      </w:r>
      <w:r w:rsidR="00847675" w:rsidRPr="0039189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第２回循環器病対策推進協議会《素案検討》</w:t>
      </w:r>
    </w:p>
    <w:p w:rsidR="001D5375" w:rsidRDefault="00A97F14" w:rsidP="00A97F14">
      <w:pPr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</w:t>
      </w:r>
      <w:r w:rsidRPr="00A97F14">
        <w:rPr>
          <w:rFonts w:ascii="ＭＳ 明朝" w:eastAsia="ＭＳ 明朝" w:hAnsi="ＭＳ 明朝" w:cs="Times New Roman" w:hint="eastAsia"/>
          <w:color w:val="000000" w:themeColor="text1"/>
          <w:w w:val="66"/>
          <w:sz w:val="24"/>
          <w:szCs w:val="24"/>
        </w:rPr>
        <w:t xml:space="preserve"> </w:t>
      </w:r>
      <w:r w:rsidR="001D537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１０</w:t>
      </w:r>
      <w:r w:rsidR="00847675" w:rsidRPr="0039189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月</w:t>
      </w:r>
      <w:r w:rsidR="000C38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１９</w:t>
      </w:r>
      <w:r w:rsidR="001D537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日（火）</w:t>
      </w:r>
    </w:p>
    <w:p w:rsidR="00847675" w:rsidRPr="00391892" w:rsidRDefault="00A97F14" w:rsidP="00C878B8">
      <w:pPr>
        <w:ind w:rightChars="-135" w:right="-283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　</w:t>
      </w:r>
      <w:r w:rsidRPr="00A97F14">
        <w:rPr>
          <w:rFonts w:ascii="ＭＳ 明朝" w:eastAsia="ＭＳ 明朝" w:hAnsi="ＭＳ 明朝" w:cs="Times New Roman" w:hint="eastAsia"/>
          <w:color w:val="000000" w:themeColor="text1"/>
          <w:w w:val="66"/>
          <w:sz w:val="24"/>
          <w:szCs w:val="24"/>
        </w:rPr>
        <w:t xml:space="preserve"> </w:t>
      </w:r>
      <w:r w:rsidR="001D537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～１１月１７日（水）</w:t>
      </w:r>
      <w:r w:rsidR="00C878B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47675" w:rsidRPr="0039189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パブリック</w:t>
      </w:r>
      <w:r w:rsidR="00C878B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・</w:t>
      </w:r>
      <w:r w:rsidR="00847675" w:rsidRPr="0039189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コメント実施</w:t>
      </w:r>
      <w:r w:rsidR="00C878B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（意見件数：31件〈20人〉）</w:t>
      </w:r>
    </w:p>
    <w:p w:rsidR="00A97F14" w:rsidRDefault="00A97F14" w:rsidP="00A97F14">
      <w:pPr>
        <w:ind w:left="1680" w:hangingChars="700" w:hanging="1680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　　　　　</w:t>
      </w:r>
      <w:r w:rsidRPr="00A97F14">
        <w:rPr>
          <w:rFonts w:ascii="ＭＳ 明朝" w:eastAsia="ＭＳ 明朝" w:hAnsi="ＭＳ 明朝" w:cs="Times New Roman" w:hint="eastAsia"/>
          <w:color w:val="000000" w:themeColor="text1"/>
          <w:w w:val="66"/>
          <w:sz w:val="24"/>
          <w:szCs w:val="24"/>
        </w:rPr>
        <w:t xml:space="preserve"> </w:t>
      </w:r>
      <w:r w:rsidR="001D537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１２</w:t>
      </w:r>
      <w:r w:rsidR="00847675" w:rsidRPr="0039189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月</w:t>
      </w:r>
      <w:r w:rsidR="001D5375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２４日（金）</w:t>
      </w:r>
      <w:r w:rsidR="000C38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47675" w:rsidRPr="0039189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C878B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 </w:t>
      </w:r>
      <w:r w:rsidR="00847675" w:rsidRPr="0039189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第３回循環器病対策推進協議会《最終案検討》</w:t>
      </w:r>
    </w:p>
    <w:p w:rsidR="001D5375" w:rsidRPr="00A97F14" w:rsidRDefault="005F6B4E" w:rsidP="00A97F14">
      <w:pPr>
        <w:ind w:leftChars="337" w:left="897" w:hangingChars="403" w:hanging="189"/>
        <w:rPr>
          <w:rFonts w:ascii="ＭＳ 明朝" w:eastAsia="ＭＳ 明朝" w:hAnsi="ＭＳ 明朝" w:cs="Times New Roman"/>
          <w:color w:val="000000" w:themeColor="text1"/>
          <w:sz w:val="24"/>
          <w:szCs w:val="24"/>
        </w:rPr>
      </w:pPr>
      <w:r w:rsidRPr="005F6B4E">
        <w:rPr>
          <w:rFonts w:ascii="ＭＳ 明朝" w:eastAsia="ＭＳ 明朝" w:hAnsi="ＭＳ 明朝" w:cs="Times New Roman"/>
          <w:color w:val="000000" w:themeColor="text1"/>
          <w:w w:val="20"/>
          <w:sz w:val="24"/>
          <w:szCs w:val="24"/>
        </w:rPr>
        <w:t xml:space="preserve"> </w:t>
      </w:r>
      <w:r w:rsidR="008312D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2022年</w:t>
      </w:r>
      <w:r w:rsidR="000C382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47675" w:rsidRPr="0039189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１月</w:t>
      </w:r>
      <w:r w:rsidR="008D281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３１日（月）</w:t>
      </w:r>
      <w:r w:rsidR="00A97F1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8D2811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　</w:t>
      </w:r>
      <w:r w:rsidR="00C878B8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 xml:space="preserve"> </w:t>
      </w:r>
      <w:r w:rsidR="00847675" w:rsidRPr="0039189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計画の</w:t>
      </w:r>
      <w:r w:rsidR="000039FA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策定</w:t>
      </w:r>
      <w:r w:rsidR="00847675" w:rsidRPr="00391892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t>・公表</w:t>
      </w:r>
      <w:bookmarkStart w:id="2" w:name="_GoBack"/>
      <w:bookmarkEnd w:id="2"/>
    </w:p>
    <w:sectPr w:rsidR="001D5375" w:rsidRPr="00A97F14" w:rsidSect="000D44CE">
      <w:pgSz w:w="11906" w:h="16838" w:code="9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B5" w:rsidRDefault="00DB6BB5" w:rsidP="007B0BAB">
      <w:r>
        <w:separator/>
      </w:r>
    </w:p>
  </w:endnote>
  <w:endnote w:type="continuationSeparator" w:id="0">
    <w:p w:rsidR="00DB6BB5" w:rsidRDefault="00DB6BB5" w:rsidP="007B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B5" w:rsidRDefault="00DB6BB5" w:rsidP="007B0BAB">
      <w:r>
        <w:separator/>
      </w:r>
    </w:p>
  </w:footnote>
  <w:footnote w:type="continuationSeparator" w:id="0">
    <w:p w:rsidR="00DB6BB5" w:rsidRDefault="00DB6BB5" w:rsidP="007B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C030A"/>
    <w:multiLevelType w:val="hybridMultilevel"/>
    <w:tmpl w:val="CD32B0F0"/>
    <w:lvl w:ilvl="0" w:tplc="9B2EDC7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B6D"/>
    <w:rsid w:val="000006BB"/>
    <w:rsid w:val="000039FA"/>
    <w:rsid w:val="00005957"/>
    <w:rsid w:val="000363B1"/>
    <w:rsid w:val="00050AEF"/>
    <w:rsid w:val="000606BA"/>
    <w:rsid w:val="00065EC7"/>
    <w:rsid w:val="00084BE3"/>
    <w:rsid w:val="000A1610"/>
    <w:rsid w:val="000A73CB"/>
    <w:rsid w:val="000B0942"/>
    <w:rsid w:val="000B2E46"/>
    <w:rsid w:val="000B5EB0"/>
    <w:rsid w:val="000C3828"/>
    <w:rsid w:val="000D0548"/>
    <w:rsid w:val="000D44CE"/>
    <w:rsid w:val="000D4C0A"/>
    <w:rsid w:val="00112DF3"/>
    <w:rsid w:val="0011577B"/>
    <w:rsid w:val="00135A72"/>
    <w:rsid w:val="001408C3"/>
    <w:rsid w:val="00156DAA"/>
    <w:rsid w:val="001660F2"/>
    <w:rsid w:val="00170CAE"/>
    <w:rsid w:val="001925FE"/>
    <w:rsid w:val="001947FB"/>
    <w:rsid w:val="001A0988"/>
    <w:rsid w:val="001A112A"/>
    <w:rsid w:val="001A7C5D"/>
    <w:rsid w:val="001B44F7"/>
    <w:rsid w:val="001C268A"/>
    <w:rsid w:val="001C346C"/>
    <w:rsid w:val="001D0BEE"/>
    <w:rsid w:val="001D2859"/>
    <w:rsid w:val="001D5375"/>
    <w:rsid w:val="001E35B3"/>
    <w:rsid w:val="001E53A7"/>
    <w:rsid w:val="001F6246"/>
    <w:rsid w:val="00200DBC"/>
    <w:rsid w:val="00203C58"/>
    <w:rsid w:val="002324A6"/>
    <w:rsid w:val="0024705E"/>
    <w:rsid w:val="00284CA6"/>
    <w:rsid w:val="00294405"/>
    <w:rsid w:val="0029490C"/>
    <w:rsid w:val="002A45D4"/>
    <w:rsid w:val="002A6445"/>
    <w:rsid w:val="002D0154"/>
    <w:rsid w:val="002D6CFB"/>
    <w:rsid w:val="002E2C70"/>
    <w:rsid w:val="002E4CF3"/>
    <w:rsid w:val="002E7DC9"/>
    <w:rsid w:val="002F12A3"/>
    <w:rsid w:val="002F6749"/>
    <w:rsid w:val="00302F2E"/>
    <w:rsid w:val="0030356B"/>
    <w:rsid w:val="0031025C"/>
    <w:rsid w:val="00327EE9"/>
    <w:rsid w:val="003310C4"/>
    <w:rsid w:val="003326A5"/>
    <w:rsid w:val="00344946"/>
    <w:rsid w:val="003544D1"/>
    <w:rsid w:val="0036240A"/>
    <w:rsid w:val="00375FC1"/>
    <w:rsid w:val="00391892"/>
    <w:rsid w:val="00392469"/>
    <w:rsid w:val="003E5940"/>
    <w:rsid w:val="003F2D65"/>
    <w:rsid w:val="00412B67"/>
    <w:rsid w:val="00413D44"/>
    <w:rsid w:val="00416D52"/>
    <w:rsid w:val="00426945"/>
    <w:rsid w:val="00427FCB"/>
    <w:rsid w:val="00432D67"/>
    <w:rsid w:val="004429E5"/>
    <w:rsid w:val="00445999"/>
    <w:rsid w:val="00455DFD"/>
    <w:rsid w:val="00461408"/>
    <w:rsid w:val="004668F6"/>
    <w:rsid w:val="004715E0"/>
    <w:rsid w:val="00481CB8"/>
    <w:rsid w:val="00483407"/>
    <w:rsid w:val="00484878"/>
    <w:rsid w:val="004B4517"/>
    <w:rsid w:val="004C0B9E"/>
    <w:rsid w:val="004C1B98"/>
    <w:rsid w:val="004D2AA0"/>
    <w:rsid w:val="004D4AE9"/>
    <w:rsid w:val="004E6AA8"/>
    <w:rsid w:val="004F68E7"/>
    <w:rsid w:val="005109F7"/>
    <w:rsid w:val="005275D2"/>
    <w:rsid w:val="00536A20"/>
    <w:rsid w:val="00570F84"/>
    <w:rsid w:val="00580DBE"/>
    <w:rsid w:val="00585AE6"/>
    <w:rsid w:val="00593939"/>
    <w:rsid w:val="00595216"/>
    <w:rsid w:val="00595891"/>
    <w:rsid w:val="00597B16"/>
    <w:rsid w:val="005A3721"/>
    <w:rsid w:val="005A5A8B"/>
    <w:rsid w:val="005C67A4"/>
    <w:rsid w:val="005F6B4E"/>
    <w:rsid w:val="00604C16"/>
    <w:rsid w:val="006346D4"/>
    <w:rsid w:val="00667F83"/>
    <w:rsid w:val="006A13A1"/>
    <w:rsid w:val="006A2E3F"/>
    <w:rsid w:val="006A7B6D"/>
    <w:rsid w:val="006B538F"/>
    <w:rsid w:val="006B5E02"/>
    <w:rsid w:val="006E1EC9"/>
    <w:rsid w:val="006F4B8C"/>
    <w:rsid w:val="007044F5"/>
    <w:rsid w:val="00716C1B"/>
    <w:rsid w:val="00722315"/>
    <w:rsid w:val="00733B17"/>
    <w:rsid w:val="0075584E"/>
    <w:rsid w:val="00774097"/>
    <w:rsid w:val="00775AF3"/>
    <w:rsid w:val="0078350D"/>
    <w:rsid w:val="007975FA"/>
    <w:rsid w:val="00797D56"/>
    <w:rsid w:val="007A5246"/>
    <w:rsid w:val="007B0BAB"/>
    <w:rsid w:val="007B6B57"/>
    <w:rsid w:val="007C19E0"/>
    <w:rsid w:val="007E3A55"/>
    <w:rsid w:val="007E5A8A"/>
    <w:rsid w:val="0082188C"/>
    <w:rsid w:val="008312DA"/>
    <w:rsid w:val="00833FE9"/>
    <w:rsid w:val="00835626"/>
    <w:rsid w:val="00845AFD"/>
    <w:rsid w:val="00847675"/>
    <w:rsid w:val="00851D95"/>
    <w:rsid w:val="00857E7F"/>
    <w:rsid w:val="00860279"/>
    <w:rsid w:val="0087017F"/>
    <w:rsid w:val="00872ED0"/>
    <w:rsid w:val="008963E9"/>
    <w:rsid w:val="008B29F2"/>
    <w:rsid w:val="008C40BA"/>
    <w:rsid w:val="008C5BC3"/>
    <w:rsid w:val="008D2811"/>
    <w:rsid w:val="008D2819"/>
    <w:rsid w:val="008F674D"/>
    <w:rsid w:val="009001BF"/>
    <w:rsid w:val="0090497C"/>
    <w:rsid w:val="00934577"/>
    <w:rsid w:val="00937145"/>
    <w:rsid w:val="009419DD"/>
    <w:rsid w:val="00941C2E"/>
    <w:rsid w:val="00990F8F"/>
    <w:rsid w:val="009B19C2"/>
    <w:rsid w:val="009B6146"/>
    <w:rsid w:val="009C4FB0"/>
    <w:rsid w:val="009C764D"/>
    <w:rsid w:val="009E2386"/>
    <w:rsid w:val="009F1C10"/>
    <w:rsid w:val="00A13F38"/>
    <w:rsid w:val="00A2436E"/>
    <w:rsid w:val="00A41D5D"/>
    <w:rsid w:val="00A46371"/>
    <w:rsid w:val="00A70393"/>
    <w:rsid w:val="00A80D5B"/>
    <w:rsid w:val="00A94C66"/>
    <w:rsid w:val="00A95579"/>
    <w:rsid w:val="00A97F14"/>
    <w:rsid w:val="00AA723B"/>
    <w:rsid w:val="00AB6429"/>
    <w:rsid w:val="00AC3F72"/>
    <w:rsid w:val="00AC614D"/>
    <w:rsid w:val="00AC7E11"/>
    <w:rsid w:val="00AF094A"/>
    <w:rsid w:val="00B00A99"/>
    <w:rsid w:val="00B20B38"/>
    <w:rsid w:val="00B241F8"/>
    <w:rsid w:val="00B26119"/>
    <w:rsid w:val="00B46657"/>
    <w:rsid w:val="00B53489"/>
    <w:rsid w:val="00B603DA"/>
    <w:rsid w:val="00B73F20"/>
    <w:rsid w:val="00B83B78"/>
    <w:rsid w:val="00B877BA"/>
    <w:rsid w:val="00B94821"/>
    <w:rsid w:val="00B94C1E"/>
    <w:rsid w:val="00BA1168"/>
    <w:rsid w:val="00BA4A2D"/>
    <w:rsid w:val="00BB1665"/>
    <w:rsid w:val="00BB3118"/>
    <w:rsid w:val="00BD7D1C"/>
    <w:rsid w:val="00BE665F"/>
    <w:rsid w:val="00C02689"/>
    <w:rsid w:val="00C277E9"/>
    <w:rsid w:val="00C33EC6"/>
    <w:rsid w:val="00C41854"/>
    <w:rsid w:val="00C60F3D"/>
    <w:rsid w:val="00C64C82"/>
    <w:rsid w:val="00C81C43"/>
    <w:rsid w:val="00C82924"/>
    <w:rsid w:val="00C876DF"/>
    <w:rsid w:val="00C878B8"/>
    <w:rsid w:val="00C95797"/>
    <w:rsid w:val="00CB12F4"/>
    <w:rsid w:val="00CB17F5"/>
    <w:rsid w:val="00CB22AA"/>
    <w:rsid w:val="00CD0383"/>
    <w:rsid w:val="00CD0974"/>
    <w:rsid w:val="00CE7DB1"/>
    <w:rsid w:val="00D04C63"/>
    <w:rsid w:val="00D139E9"/>
    <w:rsid w:val="00D57F00"/>
    <w:rsid w:val="00D61C13"/>
    <w:rsid w:val="00D6361D"/>
    <w:rsid w:val="00D85F26"/>
    <w:rsid w:val="00DB6BB5"/>
    <w:rsid w:val="00DC411F"/>
    <w:rsid w:val="00DD12AD"/>
    <w:rsid w:val="00DE5C6A"/>
    <w:rsid w:val="00DF2D53"/>
    <w:rsid w:val="00DF3A6D"/>
    <w:rsid w:val="00E13BB3"/>
    <w:rsid w:val="00E36214"/>
    <w:rsid w:val="00E44D8B"/>
    <w:rsid w:val="00E4594A"/>
    <w:rsid w:val="00E555FE"/>
    <w:rsid w:val="00EA766A"/>
    <w:rsid w:val="00EB1264"/>
    <w:rsid w:val="00ED09E3"/>
    <w:rsid w:val="00ED2E27"/>
    <w:rsid w:val="00EE3D18"/>
    <w:rsid w:val="00F043B4"/>
    <w:rsid w:val="00F15E09"/>
    <w:rsid w:val="00F16B5B"/>
    <w:rsid w:val="00F209D9"/>
    <w:rsid w:val="00F2377D"/>
    <w:rsid w:val="00F30161"/>
    <w:rsid w:val="00F40376"/>
    <w:rsid w:val="00F44AC4"/>
    <w:rsid w:val="00F46595"/>
    <w:rsid w:val="00F47A7B"/>
    <w:rsid w:val="00F54CFE"/>
    <w:rsid w:val="00F87E57"/>
    <w:rsid w:val="00FA5758"/>
    <w:rsid w:val="00FB53A8"/>
    <w:rsid w:val="00FE29B8"/>
    <w:rsid w:val="00FF1794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70C2AC-CDA0-41B8-9E79-BAF25149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059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B0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0BAB"/>
  </w:style>
  <w:style w:type="paragraph" w:styleId="a7">
    <w:name w:val="footer"/>
    <w:basedOn w:val="a"/>
    <w:link w:val="a8"/>
    <w:uiPriority w:val="99"/>
    <w:unhideWhenUsed/>
    <w:rsid w:val="007B0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0BAB"/>
  </w:style>
  <w:style w:type="table" w:styleId="a9">
    <w:name w:val="Table Grid"/>
    <w:basedOn w:val="a1"/>
    <w:uiPriority w:val="59"/>
    <w:rsid w:val="00ED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1E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oa</cp:lastModifiedBy>
  <cp:revision>10</cp:revision>
  <cp:lastPrinted>2021-12-22T08:02:00Z</cp:lastPrinted>
  <dcterms:created xsi:type="dcterms:W3CDTF">2022-01-04T02:01:00Z</dcterms:created>
  <dcterms:modified xsi:type="dcterms:W3CDTF">2022-03-16T01:30:00Z</dcterms:modified>
</cp:coreProperties>
</file>