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1075" w:rightChars="177" w:right="425" w:hangingChars="448" w:hanging="1075"/>
        <w:jc w:val="left"/>
        <w:rPr>
          <w:rFonts w:ascii="ＭＳ ゴシック" w:eastAsia="ＭＳ ゴシック" w:hAnsi="ＭＳ ゴシック"/>
          <w:b/>
          <w:sz w:val="28"/>
          <w:szCs w:val="28"/>
        </w:rPr>
      </w:pPr>
      <w:r>
        <w:rPr>
          <w:rFonts w:hAnsi="ＭＳ 明朝" w:hint="eastAsia"/>
          <w:noProof/>
          <w:szCs w:val="28"/>
        </w:rPr>
        <mc:AlternateContent>
          <mc:Choice Requires="wps">
            <w:drawing>
              <wp:anchor distT="0" distB="0" distL="114300" distR="114300" simplePos="0" relativeHeight="251659264" behindDoc="0" locked="0" layoutInCell="1" allowOverlap="1">
                <wp:simplePos x="0" y="0"/>
                <wp:positionH relativeFrom="column">
                  <wp:posOffset>8051268</wp:posOffset>
                </wp:positionH>
                <wp:positionV relativeFrom="paragraph">
                  <wp:posOffset>11799</wp:posOffset>
                </wp:positionV>
                <wp:extent cx="700645" cy="332509"/>
                <wp:effectExtent l="0" t="0" r="23495" b="10795"/>
                <wp:wrapNone/>
                <wp:docPr id="5" name="テキスト ボックス 5"/>
                <wp:cNvGraphicFramePr/>
                <a:graphic xmlns:a="http://schemas.openxmlformats.org/drawingml/2006/main">
                  <a:graphicData uri="http://schemas.microsoft.com/office/word/2010/wordprocessingShape">
                    <wps:wsp>
                      <wps:cNvSpPr txBox="1"/>
                      <wps:spPr>
                        <a:xfrm>
                          <a:off x="0" y="0"/>
                          <a:ext cx="700645" cy="332509"/>
                        </a:xfrm>
                        <a:prstGeom prst="rect">
                          <a:avLst/>
                        </a:prstGeom>
                        <a:solidFill>
                          <a:schemeClr val="lt1"/>
                        </a:solidFill>
                        <a:ln w="6350">
                          <a:solidFill>
                            <a:prstClr val="black"/>
                          </a:solidFill>
                        </a:ln>
                      </wps:spPr>
                      <wps:txbx>
                        <w:txbxContent>
                          <w:p>
                            <w:pPr>
                              <w:jc w:val="center"/>
                              <w:rPr>
                                <w:rFonts w:ascii="ＭＳ ゴシック" w:eastAsia="ＭＳ ゴシック" w:hAnsi="ＭＳ ゴシック"/>
                              </w:rPr>
                            </w:pPr>
                            <w:r>
                              <w:rPr>
                                <w:rFonts w:ascii="ＭＳ ゴシック" w:eastAsia="ＭＳ ゴシック" w:hAnsi="ＭＳ ゴシック" w:hint="eastAsia"/>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633.95pt;margin-top:.95pt;width:55.15pt;height:2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" fillcolor="white [3201]" strokeweight=".5pt">
                <v:textbox>
                  <w:txbxContent>
                    <w:p w:rsidR="009C287C" w:rsidRDefault="00C27D41">
                      <w:pPr>
                        <w:jc w:val="center"/>
                        <w:rPr>
                          <w:rFonts w:ascii="ＭＳ ゴシック" w:eastAsia="ＭＳ ゴシック" w:hAnsi="ＭＳ ゴシック"/>
                        </w:rPr>
                      </w:pPr>
                      <w:r>
                        <w:rPr>
                          <w:rFonts w:ascii="ＭＳ ゴシック" w:eastAsia="ＭＳ ゴシック" w:hAnsi="ＭＳ ゴシック" w:hint="eastAsia"/>
                        </w:rPr>
                        <w:t>資料３</w:t>
                      </w:r>
                    </w:p>
                  </w:txbxContent>
                </v:textbox>
              </v:shape>
            </w:pict>
          </mc:Fallback>
        </mc:AlternateContent>
      </w:r>
      <w:r>
        <w:rPr>
          <w:rFonts w:ascii="ＭＳ ゴシック" w:eastAsia="ＭＳ ゴシック" w:hAnsi="ＭＳ ゴシック" w:hint="eastAsia"/>
          <w:b/>
          <w:sz w:val="28"/>
          <w:szCs w:val="28"/>
        </w:rPr>
        <w:t>非稼働病棟を有する医療機関への対応について</w:t>
      </w:r>
    </w:p>
    <w:p>
      <w:pPr>
        <w:rPr>
          <w:rFonts w:ascii="ＭＳ ゴシック" w:eastAsia="ＭＳ ゴシック" w:hAnsi="ＭＳ ゴシック"/>
          <w:b/>
          <w:szCs w:val="24"/>
        </w:rPr>
      </w:pPr>
    </w:p>
    <w:p>
      <w:pPr>
        <w:rPr>
          <w:rFonts w:ascii="ＭＳ ゴシック" w:eastAsia="ＭＳ ゴシック" w:hAnsi="ＭＳ ゴシック"/>
          <w:b/>
          <w:szCs w:val="24"/>
        </w:rPr>
      </w:pPr>
    </w:p>
    <w:p>
      <w:pPr>
        <w:ind w:left="241" w:hangingChars="100" w:hanging="241"/>
        <w:rPr>
          <w:rFonts w:ascii="ＭＳ ゴシック" w:eastAsia="ＭＳ ゴシック" w:hAnsi="ＭＳ ゴシック"/>
          <w:b/>
          <w:szCs w:val="24"/>
        </w:rPr>
      </w:pPr>
      <w:r>
        <w:rPr>
          <w:rFonts w:ascii="ＭＳ ゴシック" w:eastAsia="ＭＳ ゴシック" w:hAnsi="ＭＳ ゴシック" w:hint="eastAsia"/>
          <w:b/>
          <w:szCs w:val="24"/>
        </w:rPr>
        <w:t>１　東三河北部圏域における非稼働病棟を有する医療機関への対応方針</w:t>
      </w:r>
    </w:p>
    <w:p>
      <w:pPr>
        <w:ind w:leftChars="100" w:left="240"/>
        <w:rPr>
          <w:rFonts w:ascii="ＭＳ ゴシック" w:eastAsia="ＭＳ ゴシック" w:hAnsi="ＭＳ ゴシック"/>
          <w:b/>
          <w:szCs w:val="24"/>
        </w:rPr>
      </w:pPr>
      <w:r>
        <w:rPr>
          <w:rFonts w:ascii="ＭＳ ゴシック" w:eastAsia="ＭＳ ゴシック" w:hAnsi="ＭＳ ゴシック" w:hint="eastAsia"/>
          <w:szCs w:val="24"/>
        </w:rPr>
        <w:t>（</w:t>
      </w:r>
      <w:r>
        <w:rPr>
          <w:rFonts w:hint="eastAsia"/>
        </w:rPr>
        <w:t>令和２</w:t>
      </w:r>
      <w:r>
        <w:t>年度第</w:t>
      </w:r>
      <w:r>
        <w:rPr>
          <w:rFonts w:hint="eastAsia"/>
        </w:rPr>
        <w:t>２</w:t>
      </w:r>
      <w:r>
        <w:t>回委員会</w:t>
      </w:r>
      <w:r>
        <w:rPr>
          <w:rFonts w:hint="eastAsia"/>
        </w:rPr>
        <w:t>）</w:t>
      </w:r>
    </w:p>
    <w:tbl>
      <w:tblPr>
        <w:tblStyle w:val="a9"/>
        <w:tblW w:w="0" w:type="auto"/>
        <w:tblInd w:w="3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39"/>
      </w:tblGrid>
      <w:tr>
        <w:tc>
          <w:tcPr>
            <w:tcW w:w="8139" w:type="dxa"/>
          </w:tcPr>
          <w:p>
            <w:pPr>
              <w:ind w:leftChars="100" w:left="240"/>
              <w:rPr>
                <w:rFonts w:ascii="ＭＳ ゴシック" w:eastAsia="ＭＳ ゴシック" w:hAnsi="ＭＳ ゴシック"/>
                <w:szCs w:val="24"/>
              </w:rPr>
            </w:pPr>
            <w:r>
              <w:rPr>
                <w:rFonts w:hint="eastAsia"/>
              </w:rPr>
              <w:t>全ての非稼働病棟を</w:t>
            </w:r>
            <w:r>
              <w:t>有する</w:t>
            </w:r>
            <w:r>
              <w:rPr>
                <w:rFonts w:hint="eastAsia"/>
              </w:rPr>
              <w:t>医療機関に対し</w:t>
            </w:r>
            <w:r>
              <w:t>、書面または委員会の出席により</w:t>
            </w:r>
            <w:r>
              <w:rPr>
                <w:rFonts w:hint="eastAsia"/>
              </w:rPr>
              <w:t>①病床を稼働していない理由、②当該非稼働病床の今後の運用見通し計画について</w:t>
            </w:r>
            <w:r>
              <w:t>ヒアリングを行う。</w:t>
            </w:r>
          </w:p>
        </w:tc>
      </w:tr>
    </w:tbl>
    <w:p>
      <w:pPr>
        <w:ind w:left="240" w:rightChars="-59" w:right="-142" w:hangingChars="100" w:hanging="240"/>
        <w:jc w:val="left"/>
        <w:rPr>
          <w:rFonts w:ascii="ＭＳ ゴシック" w:eastAsia="ＭＳ ゴシック" w:hAnsi="ＭＳ ゴシック"/>
          <w:szCs w:val="24"/>
        </w:rPr>
      </w:pPr>
    </w:p>
    <w:p>
      <w:pPr>
        <w:ind w:left="240" w:rightChars="-59" w:right="-142" w:hangingChars="100" w:hanging="240"/>
        <w:jc w:val="left"/>
        <w:rPr>
          <w:rFonts w:ascii="ＭＳ ゴシック" w:eastAsia="ＭＳ ゴシック" w:hAnsi="ＭＳ ゴシック"/>
          <w:szCs w:val="24"/>
        </w:rPr>
      </w:pPr>
    </w:p>
    <w:p>
      <w:pPr>
        <w:ind w:left="241" w:rightChars="-59" w:right="-142" w:hangingChars="100" w:hanging="241"/>
        <w:jc w:val="left"/>
        <w:rPr>
          <w:rFonts w:ascii="ＭＳ ゴシック" w:eastAsia="ＭＳ ゴシック" w:hAnsi="ＭＳ ゴシック"/>
          <w:b/>
          <w:szCs w:val="24"/>
        </w:rPr>
      </w:pPr>
      <w:r>
        <w:rPr>
          <w:rFonts w:ascii="ＭＳ ゴシック" w:eastAsia="ＭＳ ゴシック" w:hAnsi="ＭＳ ゴシック" w:hint="eastAsia"/>
          <w:b/>
          <w:szCs w:val="24"/>
        </w:rPr>
        <w:t>２　東三河北部構想区域における非稼働病棟について</w:t>
      </w:r>
    </w:p>
    <w:p>
      <w:pPr>
        <w:spacing w:beforeLines="50" w:before="245"/>
        <w:ind w:left="241" w:rightChars="-59" w:right="-142" w:hangingChars="100" w:hanging="241"/>
        <w:jc w:val="left"/>
        <w:rPr>
          <w:rFonts w:hAnsi="ＭＳ 明朝"/>
          <w:b/>
          <w:szCs w:val="28"/>
        </w:rPr>
      </w:pPr>
      <w:r>
        <w:rPr>
          <w:rFonts w:ascii="ＭＳ ゴシック" w:eastAsia="ＭＳ ゴシック" w:hAnsi="ＭＳ ゴシック" w:hint="eastAsia"/>
          <w:b/>
          <w:szCs w:val="24"/>
        </w:rPr>
        <w:t xml:space="preserve">　</w:t>
      </w:r>
      <w:r>
        <w:rPr>
          <w:rFonts w:hAnsi="ＭＳ 明朝" w:hint="eastAsia"/>
          <w:szCs w:val="28"/>
        </w:rPr>
        <w:t xml:space="preserve">　</w:t>
      </w:r>
      <w:r>
        <w:rPr>
          <w:rFonts w:hAnsi="ＭＳ 明朝" w:hint="eastAsia"/>
          <w:b/>
          <w:szCs w:val="28"/>
        </w:rPr>
        <w:t>２施設（公立・公的２施設）</w:t>
      </w:r>
    </w:p>
    <w:p>
      <w:pPr>
        <w:ind w:leftChars="100" w:left="240" w:rightChars="-59" w:right="-142" w:firstLineChars="200" w:firstLine="482"/>
        <w:jc w:val="left"/>
        <w:rPr>
          <w:rFonts w:hAnsi="ＭＳ 明朝"/>
          <w:b/>
          <w:szCs w:val="28"/>
        </w:rPr>
      </w:pPr>
      <w:r>
        <w:rPr>
          <w:rFonts w:hAnsi="ＭＳ 明朝" w:hint="eastAsia"/>
          <w:b/>
          <w:szCs w:val="28"/>
        </w:rPr>
        <w:t>（資料１―２参照）</w:t>
      </w:r>
    </w:p>
    <w:tbl>
      <w:tblPr>
        <w:tblStyle w:val="a9"/>
        <w:tblW w:w="0" w:type="auto"/>
        <w:tblInd w:w="704" w:type="dxa"/>
        <w:tblLook w:val="04A0" w:firstRow="1" w:lastRow="0" w:firstColumn="1" w:lastColumn="0" w:noHBand="0" w:noVBand="1"/>
      </w:tblPr>
      <w:tblGrid>
        <w:gridCol w:w="7790"/>
      </w:tblGrid>
      <w:tr>
        <w:tc>
          <w:tcPr>
            <w:tcW w:w="7790" w:type="dxa"/>
          </w:tcPr>
          <w:p>
            <w:pPr>
              <w:rPr>
                <w:rFonts w:hAnsi="ＭＳ 明朝"/>
                <w:sz w:val="22"/>
                <w:szCs w:val="28"/>
              </w:rPr>
            </w:pPr>
            <w:r>
              <w:rPr>
                <w:rFonts w:hAnsi="ＭＳ 明朝" w:hint="eastAsia"/>
                <w:sz w:val="22"/>
                <w:szCs w:val="28"/>
              </w:rPr>
              <w:t>非稼働病棟の定義</w:t>
            </w:r>
          </w:p>
          <w:p>
            <w:pPr>
              <w:ind w:firstLineChars="100" w:firstLine="220"/>
              <w:rPr>
                <w:rFonts w:hAnsi="ＭＳ 明朝"/>
                <w:szCs w:val="28"/>
              </w:rPr>
            </w:pPr>
            <w:r>
              <w:rPr>
                <w:rFonts w:hAnsi="ＭＳ 明朝"/>
                <w:sz w:val="22"/>
                <w:szCs w:val="28"/>
              </w:rPr>
              <w:t>過去１年間に１度も入院患者を収容しなかった病床のみで構成される病棟</w:t>
            </w:r>
          </w:p>
        </w:tc>
      </w:tr>
    </w:tbl>
    <w:p>
      <w:pPr>
        <w:rPr>
          <w:rFonts w:hAnsi="ＭＳ 明朝"/>
          <w:szCs w:val="28"/>
        </w:rPr>
      </w:pPr>
      <w:r>
        <w:rPr>
          <w:rFonts w:hAnsi="ＭＳ 明朝" w:hint="eastAsia"/>
          <w:szCs w:val="28"/>
        </w:rPr>
        <w:t xml:space="preserve">　　　</w:t>
      </w:r>
    </w:p>
    <w:p>
      <w:pPr>
        <w:ind w:rightChars="-59" w:right="-142"/>
        <w:jc w:val="left"/>
        <w:rPr>
          <w:rFonts w:ascii="ＭＳ ゴシック" w:eastAsia="ＭＳ ゴシック" w:hAnsi="ＭＳ ゴシック"/>
          <w:b/>
        </w:rPr>
      </w:pPr>
    </w:p>
    <w:p>
      <w:pPr>
        <w:ind w:left="241" w:rightChars="-59" w:right="-142" w:hangingChars="100" w:hanging="241"/>
        <w:jc w:val="left"/>
        <w:rPr>
          <w:rFonts w:ascii="ＭＳ ゴシック" w:eastAsia="ＭＳ ゴシック" w:hAnsi="ＭＳ ゴシック"/>
          <w:b/>
        </w:rPr>
      </w:pPr>
      <w:r>
        <w:rPr>
          <w:rFonts w:ascii="ＭＳ ゴシック" w:eastAsia="ＭＳ ゴシック" w:hAnsi="ＭＳ ゴシック" w:hint="eastAsia"/>
          <w:b/>
          <w:szCs w:val="24"/>
        </w:rPr>
        <w:t>３　今後の予定（事務局案）</w:t>
      </w:r>
    </w:p>
    <w:p>
      <w:pPr>
        <w:spacing w:beforeLines="50" w:before="245"/>
        <w:ind w:leftChars="100" w:left="523" w:hangingChars="118" w:hanging="283"/>
      </w:pPr>
      <w:r>
        <w:rPr>
          <w:rFonts w:hint="eastAsia"/>
        </w:rPr>
        <w:t>・非稼働病棟を有する２</w:t>
      </w:r>
      <w:bookmarkStart w:id="0" w:name="_GoBack"/>
      <w:bookmarkEnd w:id="0"/>
      <w:r>
        <w:rPr>
          <w:rFonts w:hint="eastAsia"/>
        </w:rPr>
        <w:t>施設に対する本委員会の意見を、県医療計画課から愛知県医療審議会（医療体制部会）に報告する。</w:t>
      </w:r>
    </w:p>
    <w:p>
      <w:pPr>
        <w:spacing w:beforeLines="50" w:before="245"/>
        <w:ind w:leftChars="100" w:left="480" w:hangingChars="100" w:hanging="240"/>
      </w:pPr>
      <w:r>
        <w:rPr>
          <w:rFonts w:hint="eastAsia"/>
        </w:rPr>
        <w:t>・今後も、全ての非稼働病棟を</w:t>
      </w:r>
      <w:r>
        <w:t>有する</w:t>
      </w:r>
      <w:r>
        <w:rPr>
          <w:rFonts w:hint="eastAsia"/>
        </w:rPr>
        <w:t>医療機関に対し</w:t>
      </w:r>
      <w:r>
        <w:t>、</w:t>
      </w:r>
      <w:r>
        <w:rPr>
          <w:rFonts w:hint="eastAsia"/>
        </w:rPr>
        <w:t>年一回程度、</w:t>
      </w:r>
      <w:r>
        <w:t>書面または委員会の出席により</w:t>
      </w:r>
      <w:r>
        <w:rPr>
          <w:rFonts w:hint="eastAsia"/>
        </w:rPr>
        <w:t>①病床を稼働していない理由、②当該非稼働病床の今後の運用見通し計画について</w:t>
      </w:r>
      <w:r>
        <w:t>ヒアリングを行う。</w:t>
      </w:r>
    </w:p>
    <w:p>
      <w:pPr>
        <w:ind w:left="283" w:hangingChars="118" w:hanging="283"/>
      </w:pPr>
    </w:p>
    <w:p>
      <w:pPr>
        <w:ind w:left="240" w:rightChars="-59" w:right="-142" w:hangingChars="100" w:hanging="240"/>
        <w:jc w:val="left"/>
        <w:rPr>
          <w:rFonts w:ascii="ＭＳ ゴシック" w:eastAsia="ＭＳ ゴシック" w:hAnsi="ＭＳ ゴシック"/>
          <w:szCs w:val="24"/>
        </w:rPr>
      </w:pPr>
    </w:p>
    <w:p>
      <w:pPr>
        <w:ind w:left="240" w:rightChars="-59" w:right="-142" w:hangingChars="100" w:hanging="240"/>
        <w:jc w:val="left"/>
        <w:rPr>
          <w:rFonts w:ascii="ＭＳ ゴシック" w:eastAsia="ＭＳ ゴシック" w:hAnsi="ＭＳ ゴシック"/>
          <w:szCs w:val="24"/>
        </w:rPr>
      </w:pPr>
    </w:p>
    <w:p>
      <w:pPr>
        <w:ind w:left="240" w:rightChars="-59" w:right="-142" w:hangingChars="100" w:hanging="240"/>
        <w:jc w:val="left"/>
        <w:rPr>
          <w:rFonts w:ascii="ＭＳ ゴシック" w:eastAsia="ＭＳ ゴシック" w:hAnsi="ＭＳ ゴシック"/>
          <w:szCs w:val="24"/>
        </w:rPr>
      </w:pPr>
    </w:p>
    <w:p>
      <w:pPr>
        <w:rPr>
          <w:rFonts w:ascii="ＭＳ ゴシック" w:eastAsia="ＭＳ ゴシック" w:hAnsi="ＭＳ ゴシック"/>
          <w:b/>
          <w:szCs w:val="24"/>
        </w:rPr>
      </w:pPr>
    </w:p>
    <w:p>
      <w:pPr>
        <w:rPr>
          <w:rFonts w:ascii="ＭＳ ゴシック" w:eastAsia="ＭＳ ゴシック" w:hAnsi="ＭＳ ゴシック"/>
          <w:b/>
          <w:szCs w:val="24"/>
        </w:rPr>
      </w:pPr>
      <w:r>
        <w:rPr>
          <w:rFonts w:hAnsi="ＭＳ 明朝" w:hint="eastAsia"/>
          <w:noProof/>
          <w:szCs w:val="28"/>
        </w:rPr>
        <mc:AlternateContent>
          <mc:Choice Requires="wps">
            <w:drawing>
              <wp:anchor distT="0" distB="0" distL="114300" distR="114300" simplePos="0" relativeHeight="251669504" behindDoc="0" locked="0" layoutInCell="1" allowOverlap="1">
                <wp:simplePos x="0" y="0"/>
                <wp:positionH relativeFrom="margin">
                  <wp:posOffset>4645025</wp:posOffset>
                </wp:positionH>
                <wp:positionV relativeFrom="paragraph">
                  <wp:posOffset>-302260</wp:posOffset>
                </wp:positionV>
                <wp:extent cx="1105535" cy="332105"/>
                <wp:effectExtent l="0" t="0" r="18415" b="10795"/>
                <wp:wrapNone/>
                <wp:docPr id="2" name="テキスト ボックス 2"/>
                <wp:cNvGraphicFramePr/>
                <a:graphic xmlns:a="http://schemas.openxmlformats.org/drawingml/2006/main">
                  <a:graphicData uri="http://schemas.microsoft.com/office/word/2010/wordprocessingShape">
                    <wps:wsp>
                      <wps:cNvSpPr txBox="1"/>
                      <wps:spPr>
                        <a:xfrm>
                          <a:off x="0" y="0"/>
                          <a:ext cx="1105535" cy="332105"/>
                        </a:xfrm>
                        <a:prstGeom prst="rect">
                          <a:avLst/>
                        </a:prstGeom>
                        <a:solidFill>
                          <a:sysClr val="window" lastClr="FFFFFF"/>
                        </a:solidFill>
                        <a:ln w="6350">
                          <a:solidFill>
                            <a:prstClr val="black"/>
                          </a:solidFill>
                        </a:ln>
                      </wps:spPr>
                      <wps:txbx>
                        <w:txbxContent>
                          <w:p>
                            <w:pPr>
                              <w:jc w:val="center"/>
                              <w:rPr>
                                <w:rFonts w:ascii="ＭＳ ゴシック" w:eastAsia="ＭＳ ゴシック" w:hAnsi="ＭＳ ゴシック"/>
                              </w:rPr>
                            </w:pPr>
                            <w:r>
                              <w:rPr>
                                <w:rFonts w:ascii="ＭＳ ゴシック" w:eastAsia="ＭＳ ゴシック" w:hAnsi="ＭＳ ゴシック" w:hint="eastAsia"/>
                              </w:rPr>
                              <w:t>資料１ー１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BAAC3" id="テキスト ボックス 2" o:spid="_x0000_s1027" type="#_x0000_t202" style="position:absolute;left:0;text-align:left;margin-left:365.75pt;margin-top:-23.8pt;width:87.05pt;height:26.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" fillcolor="window" strokeweight=".5pt">
                <v:textbox inset=",0,,0">
                  <w:txbxContent>
                    <w:p w:rsidR="00EB4D5C" w:rsidRDefault="00EB4D5C" w:rsidP="00EB4D5C">
                      <w:pPr>
                        <w:jc w:val="center"/>
                        <w:rPr>
                          <w:rFonts w:ascii="ＭＳ ゴシック" w:eastAsia="ＭＳ ゴシック" w:hAnsi="ＭＳ ゴシック"/>
                        </w:rPr>
                      </w:pPr>
                      <w:r>
                        <w:rPr>
                          <w:rFonts w:ascii="ＭＳ ゴシック" w:eastAsia="ＭＳ ゴシック" w:hAnsi="ＭＳ ゴシック" w:hint="eastAsia"/>
                        </w:rPr>
                        <w:t>資料１ー１</w:t>
                      </w:r>
                    </w:p>
                  </w:txbxContent>
                </v:textbox>
                <w10:wrap anchorx="margin"/>
              </v:shape>
            </w:pict>
          </mc:Fallback>
        </mc:AlternateContent>
      </w:r>
    </w:p>
    <w:p>
      <w:pPr>
        <w:rPr>
          <w:rFonts w:ascii="ＭＳ ゴシック" w:eastAsia="ＭＳ ゴシック" w:hAnsi="ＭＳ ゴシック"/>
          <w:b/>
          <w:szCs w:val="24"/>
        </w:rPr>
      </w:pPr>
    </w:p>
    <w:p>
      <w:pPr>
        <w:rPr>
          <w:rFonts w:ascii="ＭＳ ゴシック" w:eastAsia="ＭＳ ゴシック" w:hAnsi="ＭＳ ゴシック"/>
          <w:b/>
          <w:szCs w:val="24"/>
        </w:rPr>
      </w:pPr>
      <w:r>
        <w:rPr>
          <w:rFonts w:ascii="ＭＳ ゴシック" w:eastAsia="ＭＳ ゴシック" w:hAnsi="ＭＳ ゴシック" w:hint="eastAsia"/>
          <w:b/>
          <w:szCs w:val="24"/>
        </w:rPr>
        <w:t>４　非稼働病棟を有する医療機関に対する県内統一の対応方針</w:t>
      </w:r>
    </w:p>
    <w:p>
      <w:pPr>
        <w:spacing w:afterLines="50" w:after="245"/>
        <w:ind w:firstLineChars="100" w:firstLine="240"/>
        <w:rPr>
          <w:rFonts w:ascii="ＭＳ ゴシック" w:eastAsia="ＭＳ ゴシック" w:hAnsi="ＭＳ ゴシック"/>
          <w:b/>
          <w:szCs w:val="24"/>
        </w:rPr>
      </w:pPr>
      <w:r>
        <w:rPr>
          <w:rFonts w:hint="eastAsia"/>
        </w:rPr>
        <w:t>（令和３年２月４日開催　愛知県医療審議会医療体制部会にて決定）</w:t>
      </w:r>
    </w:p>
    <w:tbl>
      <w:tblPr>
        <w:tblStyle w:val="a9"/>
        <w:tblW w:w="0" w:type="auto"/>
        <w:tblInd w:w="3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39"/>
      </w:tblGrid>
      <w:tr>
        <w:tc>
          <w:tcPr>
            <w:tcW w:w="8139" w:type="dxa"/>
          </w:tcPr>
          <w:p>
            <w:pPr>
              <w:ind w:left="240" w:hangingChars="100" w:hanging="240"/>
            </w:pPr>
            <w:r>
              <w:rPr>
                <w:rFonts w:hint="eastAsia"/>
              </w:rPr>
              <w:t xml:space="preserve">○　</w:t>
            </w:r>
            <w:r>
              <w:t>病床過剰地域に所在し、以下のいずれかの条件に該当する病院に対して、国通知に基づく対応を進める</w:t>
            </w:r>
            <w:r>
              <w:rPr>
                <w:rFonts w:hint="eastAsia"/>
              </w:rPr>
              <w:t>。</w:t>
            </w:r>
          </w:p>
          <w:p>
            <w:pPr>
              <w:ind w:leftChars="200" w:left="720" w:hangingChars="100" w:hanging="240"/>
            </w:pPr>
            <w:r>
              <w:rPr>
                <w:rFonts w:hint="eastAsia"/>
              </w:rPr>
              <w:t xml:space="preserve">①　</w:t>
            </w:r>
            <w:r>
              <w:t>病床の開設許可後（新規開設、変更許可含む）、１年経過後においても、稼働していない病棟を有する病院</w:t>
            </w:r>
          </w:p>
          <w:p>
            <w:pPr>
              <w:ind w:leftChars="200" w:left="720" w:hangingChars="100" w:hanging="240"/>
            </w:pPr>
            <w:r>
              <w:rPr>
                <w:rFonts w:hint="eastAsia"/>
              </w:rPr>
              <w:t>②</w:t>
            </w:r>
            <w:r>
              <w:t xml:space="preserve"> ５年以上、稼働していない病棟を有する病院</w:t>
            </w:r>
          </w:p>
          <w:p>
            <w:pPr>
              <w:ind w:leftChars="100" w:left="480" w:hangingChars="100" w:hanging="240"/>
            </w:pPr>
            <w:r>
              <w:rPr>
                <w:rFonts w:hint="eastAsia"/>
              </w:rPr>
              <w:t>（上記の条件に該当しない医療機関については、これまでどおり各地域の地域医療構想推進委員会において、取組の方針を決定する。）</w:t>
            </w:r>
          </w:p>
          <w:p>
            <w:r>
              <w:rPr>
                <w:rFonts w:hint="eastAsia"/>
              </w:rPr>
              <w:t xml:space="preserve">○　</w:t>
            </w:r>
            <w:r>
              <w:t>本方針に基づき令和３年４月から各構想区域で協議を進める。</w:t>
            </w:r>
          </w:p>
          <w:p>
            <w:pPr>
              <w:ind w:left="240" w:hangingChars="100" w:hanging="240"/>
              <w:rPr>
                <w:color w:val="FF0000"/>
              </w:rPr>
            </w:pPr>
            <w:r>
              <w:rPr>
                <w:rFonts w:hint="eastAsia"/>
              </w:rPr>
              <w:t xml:space="preserve">○　</w:t>
            </w:r>
            <w:r>
              <w:t>新型コロナウイルス感染症の影響で、一時的に病床稼働率が減少したことによる非稼働病床に関しては、留意の上、取組を進める。</w:t>
            </w:r>
          </w:p>
        </w:tc>
      </w:tr>
    </w:tbl>
    <w:p>
      <w:pPr>
        <w:ind w:right="960"/>
        <w:rPr>
          <w:color w:val="FF0000"/>
        </w:rPr>
      </w:pPr>
    </w:p>
    <w:p>
      <w:pPr>
        <w:ind w:right="960"/>
        <w:rPr>
          <w:color w:val="FF0000"/>
        </w:rPr>
      </w:pPr>
    </w:p>
    <w:p>
      <w:pPr>
        <w:ind w:leftChars="-100" w:left="-240" w:firstLineChars="59" w:firstLine="142"/>
        <w:rPr>
          <w:color w:val="000000" w:themeColor="text1"/>
        </w:rPr>
      </w:pPr>
      <w:r>
        <w:rPr>
          <w:noProof/>
          <w:color w:val="FF0000"/>
        </w:rPr>
        <w:drawing>
          <wp:anchor distT="0" distB="0" distL="114300" distR="114300" simplePos="0" relativeHeight="251665408" behindDoc="0" locked="0" layoutInCell="1" allowOverlap="1">
            <wp:simplePos x="0" y="0"/>
            <wp:positionH relativeFrom="column">
              <wp:posOffset>-150495</wp:posOffset>
            </wp:positionH>
            <wp:positionV relativeFrom="paragraph">
              <wp:posOffset>313055</wp:posOffset>
            </wp:positionV>
            <wp:extent cx="5737225" cy="320992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7225" cy="320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themeColor="text1"/>
        </w:rPr>
        <w:t>（国通知に基づく対応）</w:t>
      </w:r>
    </w:p>
    <w:p>
      <w:pPr>
        <w:ind w:firstLineChars="59" w:firstLine="142"/>
        <w:rPr>
          <w:color w:val="FF0000"/>
        </w:rPr>
      </w:pPr>
    </w:p>
    <w:p>
      <w:pPr>
        <w:ind w:firstLineChars="1700" w:firstLine="4080"/>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
    <w:p>
      <w:pPr>
        <w:ind w:leftChars="100" w:left="240"/>
      </w:pPr>
    </w:p>
    <w:sectPr>
      <w:footerReference w:type="default" r:id="rId8"/>
      <w:pgSz w:w="11906" w:h="16838" w:code="9"/>
      <w:pgMar w:top="1134" w:right="1701" w:bottom="992" w:left="1701" w:header="851" w:footer="992" w:gutter="0"/>
      <w:cols w:space="425"/>
      <w:docGrid w:type="line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ＤＦ行書体">
    <w:panose1 w:val="03000509000000000000"/>
    <w:charset w:val="80"/>
    <w:family w:val="script"/>
    <w:pitch w:val="fixed"/>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jc w:val="righ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95265"/>
    <w:multiLevelType w:val="hybridMultilevel"/>
    <w:tmpl w:val="09125F90"/>
    <w:lvl w:ilvl="0" w:tplc="8DAEBC86">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4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1E27638-D419-4C3D-94C7-4B6B58C6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ＤＦ行書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ＭＳ 明朝" w:eastAsia="ＭＳ 明朝" w:hAnsi="ＤＦ行書体"/>
      <w:sz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ＭＳ 明朝" w:eastAsia="ＭＳ 明朝" w:hAnsi="ＤＦ行書体"/>
      <w:sz w:val="24"/>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Chars="400" w:left="840"/>
    </w:pPr>
  </w:style>
  <w:style w:type="paragraph" w:styleId="ab">
    <w:name w:val="Closing"/>
    <w:basedOn w:val="a"/>
    <w:link w:val="ac"/>
    <w:uiPriority w:val="99"/>
    <w:unhideWhenUsed/>
    <w:pPr>
      <w:jc w:val="right"/>
    </w:pPr>
    <w:rPr>
      <w:rFonts w:asciiTheme="minorHAnsi" w:eastAsiaTheme="minorEastAsia" w:hAnsiTheme="minorHAnsi"/>
    </w:rPr>
  </w:style>
  <w:style w:type="character" w:customStyle="1" w:styleId="ac">
    <w:name w:val="結語 (文字)"/>
    <w:basedOn w:val="a0"/>
    <w:link w:val="ab"/>
    <w:uiPriority w:val="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cp:revision>
  <cp:lastPrinted>2023-01-13T05:59:00Z</cp:lastPrinted>
  <dcterms:created xsi:type="dcterms:W3CDTF">2023-01-24T00:38:00Z</dcterms:created>
  <dcterms:modified xsi:type="dcterms:W3CDTF">2023-01-24T01:22:00Z</dcterms:modified>
</cp:coreProperties>
</file>