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4A4" w:rsidRDefault="008A04A4" w:rsidP="008A04A4">
      <w:pPr>
        <w:pStyle w:val="a4"/>
        <w:rPr>
          <w:rFonts w:hint="eastAsia"/>
          <w:b/>
          <w:bCs/>
          <w:w w:val="100"/>
        </w:rPr>
      </w:pPr>
      <w:r>
        <w:rPr>
          <w:rFonts w:hint="eastAsia"/>
          <w:b/>
          <w:bCs/>
          <w:w w:val="100"/>
        </w:rPr>
        <w:t>○○法人○○会　モデル</w:t>
      </w:r>
      <w:r>
        <w:rPr>
          <w:b/>
          <w:bCs/>
          <w:w w:val="100"/>
          <w:szCs w:val="27"/>
        </w:rPr>
        <w:t>給与規程</w:t>
      </w:r>
    </w:p>
    <w:p w:rsidR="008A04A4" w:rsidRDefault="008A04A4" w:rsidP="008A04A4">
      <w:pPr>
        <w:pStyle w:val="a6"/>
        <w:rPr>
          <w:rFonts w:hint="eastAsia"/>
        </w:rPr>
      </w:pPr>
      <w:r>
        <w:rPr>
          <w:rFonts w:hint="eastAsia"/>
        </w:rPr>
        <w:t xml:space="preserve">第１章　</w:t>
      </w:r>
      <w:r>
        <w:t>総則</w:t>
      </w:r>
    </w:p>
    <w:p w:rsidR="008A04A4" w:rsidRDefault="008A04A4" w:rsidP="008A04A4">
      <w:pPr>
        <w:pStyle w:val="1"/>
        <w:rPr>
          <w:rFonts w:hint="eastAsia"/>
        </w:rPr>
      </w:pPr>
      <w:r>
        <w:t>（適用範囲）</w:t>
      </w:r>
    </w:p>
    <w:p w:rsidR="008A04A4" w:rsidRDefault="008A04A4" w:rsidP="008A04A4">
      <w:pPr>
        <w:pStyle w:val="a3"/>
        <w:rPr>
          <w:rFonts w:hint="eastAsia"/>
        </w:rPr>
      </w:pPr>
      <w:r>
        <w:rPr>
          <w:rFonts w:hint="eastAsia"/>
        </w:rPr>
        <w:t xml:space="preserve">第１条　</w:t>
      </w:r>
      <w:r>
        <w:t>就業規則第</w:t>
      </w:r>
      <w:r>
        <w:rPr>
          <w:rFonts w:hint="eastAsia"/>
        </w:rPr>
        <w:t>５１</w:t>
      </w:r>
      <w:r>
        <w:t>条の規定により、職員の給与については本規程の定めるところによる。</w:t>
      </w:r>
    </w:p>
    <w:p w:rsidR="008A04A4" w:rsidRDefault="008A04A4" w:rsidP="008A04A4">
      <w:pPr>
        <w:pStyle w:val="a3"/>
        <w:rPr>
          <w:rFonts w:hint="eastAsia"/>
        </w:rPr>
      </w:pPr>
      <w:r>
        <w:t>２　前項の職員とは就業規則第６条により採用されたものをいう。</w:t>
      </w:r>
    </w:p>
    <w:p w:rsidR="008A04A4" w:rsidRDefault="008A04A4" w:rsidP="008A04A4">
      <w:pPr>
        <w:pStyle w:val="a3"/>
        <w:rPr>
          <w:rFonts w:hint="eastAsia"/>
        </w:rPr>
      </w:pPr>
      <w:r>
        <w:t>３　嘱託、臨時、又は日々の雇用者及びパートタイム職員等については別に定める</w:t>
      </w:r>
      <w:r>
        <w:rPr>
          <w:rFonts w:hint="eastAsia"/>
        </w:rPr>
        <w:t>。</w:t>
      </w:r>
    </w:p>
    <w:p w:rsidR="008A04A4" w:rsidRDefault="008A04A4" w:rsidP="008A04A4">
      <w:pPr>
        <w:rPr>
          <w:rFonts w:hint="eastAsia"/>
        </w:rPr>
      </w:pPr>
    </w:p>
    <w:p w:rsidR="008A04A4" w:rsidRDefault="008A04A4" w:rsidP="008A04A4">
      <w:pPr>
        <w:pStyle w:val="1"/>
        <w:rPr>
          <w:rFonts w:hint="eastAsia"/>
        </w:rPr>
      </w:pPr>
      <w:r>
        <w:t>（均等待遇）</w:t>
      </w:r>
    </w:p>
    <w:p w:rsidR="008A04A4" w:rsidRDefault="008A04A4" w:rsidP="008A04A4">
      <w:pPr>
        <w:pStyle w:val="a3"/>
      </w:pPr>
      <w:r>
        <w:t>第２条　職員の国籍、信条又は社会的身分を理由として差別的取扱いをしない。</w:t>
      </w:r>
    </w:p>
    <w:p w:rsidR="008A04A4" w:rsidRDefault="008A04A4" w:rsidP="008A04A4">
      <w:pPr>
        <w:rPr>
          <w:rFonts w:hint="eastAsia"/>
        </w:rPr>
      </w:pPr>
    </w:p>
    <w:p w:rsidR="008A04A4" w:rsidRDefault="008A04A4" w:rsidP="008A04A4">
      <w:pPr>
        <w:pStyle w:val="1"/>
        <w:rPr>
          <w:rFonts w:hint="eastAsia"/>
        </w:rPr>
      </w:pPr>
      <w:r>
        <w:t>（男女同一賃金）</w:t>
      </w:r>
    </w:p>
    <w:p w:rsidR="008A04A4" w:rsidRDefault="008A04A4" w:rsidP="008A04A4">
      <w:pPr>
        <w:pStyle w:val="a3"/>
      </w:pPr>
      <w:r>
        <w:t>第３条　職員が女子であることを理由として、給与について男子と差別的取扱いをしない。</w:t>
      </w:r>
    </w:p>
    <w:p w:rsidR="008A04A4" w:rsidRDefault="008A04A4" w:rsidP="008A04A4">
      <w:pPr>
        <w:rPr>
          <w:rFonts w:hint="eastAsia"/>
        </w:rPr>
      </w:pPr>
    </w:p>
    <w:p w:rsidR="008A04A4" w:rsidRDefault="008A04A4" w:rsidP="008A04A4">
      <w:pPr>
        <w:pStyle w:val="1"/>
        <w:rPr>
          <w:rFonts w:hint="eastAsia"/>
        </w:rPr>
      </w:pPr>
      <w:r>
        <w:t>（給与の種類）</w:t>
      </w:r>
    </w:p>
    <w:p w:rsidR="008A04A4" w:rsidRDefault="008A04A4" w:rsidP="008A04A4">
      <w:pPr>
        <w:pStyle w:val="a3"/>
      </w:pPr>
      <w:r>
        <w:t>第４条　職員の給与は、本給（本人給、仕事給）及び第４章に定める手当並びに退職金とする。</w:t>
      </w:r>
    </w:p>
    <w:p w:rsidR="008A04A4" w:rsidRDefault="008A04A4" w:rsidP="008A04A4">
      <w:pPr>
        <w:rPr>
          <w:rFonts w:hint="eastAsia"/>
        </w:rPr>
      </w:pPr>
    </w:p>
    <w:p w:rsidR="008A04A4" w:rsidRDefault="008A04A4" w:rsidP="008A04A4">
      <w:pPr>
        <w:pStyle w:val="1"/>
        <w:rPr>
          <w:rFonts w:hint="eastAsia"/>
        </w:rPr>
      </w:pPr>
      <w:r>
        <w:t>（給与の締切日及び支給日）</w:t>
      </w:r>
    </w:p>
    <w:p w:rsidR="008A04A4" w:rsidRDefault="008A04A4" w:rsidP="008A04A4">
      <w:pPr>
        <w:pStyle w:val="a3"/>
        <w:rPr>
          <w:rFonts w:hint="eastAsia"/>
        </w:rPr>
      </w:pPr>
      <w:r>
        <w:rPr>
          <w:rFonts w:hint="eastAsia"/>
        </w:rPr>
        <w:t xml:space="preserve">第５条  </w:t>
      </w:r>
      <w:r>
        <w:t>給与の締切期間は、前月１６日より当月１５日までの期間とし、その期間の分を当月２５日に支給する。</w:t>
      </w:r>
    </w:p>
    <w:p w:rsidR="008A04A4" w:rsidRDefault="008A04A4" w:rsidP="008A04A4">
      <w:pPr>
        <w:pStyle w:val="a3"/>
      </w:pPr>
      <w:r>
        <w:t>２　前項の支給日の当日が土曜日、日曜日又は祝日の場合は、その前日とする。</w:t>
      </w:r>
    </w:p>
    <w:p w:rsidR="008A04A4" w:rsidRDefault="008A04A4" w:rsidP="008A04A4">
      <w:pPr>
        <w:rPr>
          <w:rFonts w:hint="eastAsia"/>
        </w:rPr>
      </w:pPr>
    </w:p>
    <w:p w:rsidR="008A04A4" w:rsidRDefault="008A04A4" w:rsidP="008A04A4">
      <w:pPr>
        <w:pStyle w:val="a3"/>
        <w:rPr>
          <w:rFonts w:hAnsi="Arial" w:hint="eastAsia"/>
          <w:szCs w:val="24"/>
        </w:rPr>
      </w:pPr>
      <w:r>
        <w:rPr>
          <w:rFonts w:hAnsi="Arial"/>
          <w:szCs w:val="24"/>
        </w:rPr>
        <w:t>（給与の計算方法）</w:t>
      </w:r>
    </w:p>
    <w:p w:rsidR="008A04A4" w:rsidRDefault="008A04A4" w:rsidP="008A04A4">
      <w:pPr>
        <w:pStyle w:val="a3"/>
        <w:rPr>
          <w:rFonts w:hint="eastAsia"/>
        </w:rPr>
      </w:pPr>
      <w:r>
        <w:rPr>
          <w:rFonts w:hint="eastAsia"/>
          <w:szCs w:val="24"/>
        </w:rPr>
        <w:t xml:space="preserve">第６条  </w:t>
      </w:r>
      <w:r>
        <w:t>所定の勤務時間の全部又は一部について業務に従事しなかった場合は、その従事しなかった時間に対する給与は支給しない。ただし、本規程等で別に定める場合は、その規程による。</w:t>
      </w:r>
    </w:p>
    <w:p w:rsidR="008A04A4" w:rsidRDefault="008A04A4" w:rsidP="008A04A4">
      <w:pPr>
        <w:pStyle w:val="a3"/>
        <w:rPr>
          <w:rFonts w:hint="eastAsia"/>
        </w:rPr>
      </w:pPr>
      <w:r>
        <w:t>２　前項の場合において従事しなかった時間の計算は、当該給与締切期間の末日において合計し、１時間未満は切り捨てる。１時間当たりの金額の計算方法は、別表７の２による。</w:t>
      </w:r>
    </w:p>
    <w:p w:rsidR="008A04A4" w:rsidRDefault="008A04A4" w:rsidP="008A04A4">
      <w:pPr>
        <w:pStyle w:val="a3"/>
      </w:pPr>
      <w:r>
        <w:t>３　新たに採用された職員及び昇給した職員の給与は、発令の日から日割り計算にて支給する。日割計算の方法は、別表７の１による。</w:t>
      </w:r>
    </w:p>
    <w:p w:rsidR="008A04A4" w:rsidRDefault="008A04A4" w:rsidP="008A04A4">
      <w:pPr>
        <w:rPr>
          <w:rFonts w:hint="eastAsia"/>
        </w:rPr>
      </w:pPr>
    </w:p>
    <w:p w:rsidR="008A04A4" w:rsidRDefault="008A04A4" w:rsidP="008A04A4">
      <w:pPr>
        <w:pStyle w:val="1"/>
        <w:rPr>
          <w:rFonts w:hint="eastAsia"/>
        </w:rPr>
      </w:pPr>
      <w:r>
        <w:t>（非常時払い）</w:t>
      </w:r>
    </w:p>
    <w:p w:rsidR="008A04A4" w:rsidRDefault="008A04A4" w:rsidP="008A04A4">
      <w:pPr>
        <w:pStyle w:val="a3"/>
        <w:rPr>
          <w:rFonts w:hint="eastAsia"/>
        </w:rPr>
      </w:pPr>
      <w:r>
        <w:rPr>
          <w:rFonts w:hint="eastAsia"/>
        </w:rPr>
        <w:t xml:space="preserve">第７条  </w:t>
      </w:r>
      <w:r>
        <w:t>第５条第２項の規定にかかわらず、次の各号に該当する場合には、職員又は遺</w:t>
      </w:r>
      <w:r>
        <w:rPr>
          <w:rFonts w:hint="eastAsia"/>
        </w:rPr>
        <w:t>族</w:t>
      </w:r>
      <w:r>
        <w:t>の請求があれば給与支払日前であっても既往の労働に対する給与を支給する。</w:t>
      </w:r>
    </w:p>
    <w:p w:rsidR="008A04A4" w:rsidRDefault="008A04A4" w:rsidP="008A04A4">
      <w:pPr>
        <w:pStyle w:val="2ind2"/>
        <w:ind w:left="964" w:hanging="482"/>
        <w:rPr>
          <w:rFonts w:hint="eastAsia"/>
        </w:rPr>
      </w:pPr>
      <w:r>
        <w:rPr>
          <w:rFonts w:hint="eastAsia"/>
        </w:rPr>
        <w:t>（１）職員</w:t>
      </w:r>
      <w:r>
        <w:t>の結婚、出産、疾病、災害の場合</w:t>
      </w:r>
    </w:p>
    <w:p w:rsidR="008A04A4" w:rsidRDefault="008A04A4" w:rsidP="008A04A4">
      <w:pPr>
        <w:pStyle w:val="2ind2"/>
        <w:ind w:left="964" w:hanging="482"/>
        <w:rPr>
          <w:rFonts w:hint="eastAsia"/>
        </w:rPr>
      </w:pPr>
      <w:r>
        <w:rPr>
          <w:rFonts w:hint="eastAsia"/>
        </w:rPr>
        <w:t>（２）</w:t>
      </w:r>
      <w:r>
        <w:t>職員の収入によって生計を維持する者が、結婚、出産、疾病又は災害を受けた場合</w:t>
      </w:r>
    </w:p>
    <w:p w:rsidR="008A04A4" w:rsidRDefault="008A04A4" w:rsidP="008A04A4">
      <w:pPr>
        <w:pStyle w:val="2ind2"/>
        <w:ind w:left="964" w:hanging="482"/>
        <w:rPr>
          <w:rFonts w:hint="eastAsia"/>
        </w:rPr>
      </w:pPr>
      <w:r>
        <w:rPr>
          <w:rFonts w:hint="eastAsia"/>
        </w:rPr>
        <w:t>（３）</w:t>
      </w:r>
      <w:r>
        <w:t>解雇又は退職した場合</w:t>
      </w:r>
    </w:p>
    <w:p w:rsidR="008A04A4" w:rsidRDefault="008A04A4" w:rsidP="008A04A4">
      <w:pPr>
        <w:pStyle w:val="2ind2"/>
        <w:ind w:left="964" w:hanging="482"/>
        <w:rPr>
          <w:rFonts w:hint="eastAsia"/>
        </w:rPr>
      </w:pPr>
      <w:r>
        <w:rPr>
          <w:rFonts w:hint="eastAsia"/>
        </w:rPr>
        <w:lastRenderedPageBreak/>
        <w:t>（４）</w:t>
      </w:r>
      <w:r>
        <w:t>前各号のほか、やむを得ない事情があると施設長が認めた場合</w:t>
      </w:r>
    </w:p>
    <w:p w:rsidR="008A04A4" w:rsidRDefault="008A04A4" w:rsidP="008A04A4">
      <w:pPr>
        <w:pStyle w:val="2ind1"/>
        <w:rPr>
          <w:rFonts w:hint="eastAsia"/>
        </w:rPr>
      </w:pPr>
    </w:p>
    <w:p w:rsidR="008A04A4" w:rsidRDefault="008A04A4" w:rsidP="008A04A4">
      <w:pPr>
        <w:pStyle w:val="1"/>
        <w:rPr>
          <w:rFonts w:hint="eastAsia"/>
        </w:rPr>
      </w:pPr>
      <w:r>
        <w:t>（給与の支払方法）</w:t>
      </w:r>
    </w:p>
    <w:p w:rsidR="008A04A4" w:rsidRDefault="008A04A4" w:rsidP="008A04A4">
      <w:pPr>
        <w:pStyle w:val="a3"/>
        <w:numPr>
          <w:ilvl w:val="0"/>
          <w:numId w:val="1"/>
        </w:numPr>
        <w:ind w:firstLineChars="0"/>
        <w:rPr>
          <w:rFonts w:hint="eastAsia"/>
        </w:rPr>
      </w:pPr>
      <w:r>
        <w:t>給与は、通貨で直接職員にその全額を支給する。</w:t>
      </w:r>
    </w:p>
    <w:p w:rsidR="008A04A4" w:rsidRDefault="008A04A4" w:rsidP="008A04A4">
      <w:pPr>
        <w:pStyle w:val="2ind1"/>
        <w:ind w:leftChars="100" w:left="241" w:firstLineChars="100" w:firstLine="241"/>
        <w:rPr>
          <w:rFonts w:hint="eastAsia"/>
        </w:rPr>
      </w:pPr>
      <w:r>
        <w:t>ただし、法令に別段の定めがあるもの及び職員の過半数を代表する者と書面により協定したものは、これを控除して支給する。</w:t>
      </w:r>
    </w:p>
    <w:p w:rsidR="008A04A4" w:rsidRDefault="008A04A4" w:rsidP="008A04A4">
      <w:pPr>
        <w:pStyle w:val="2ind1"/>
        <w:rPr>
          <w:rFonts w:hint="eastAsia"/>
        </w:rPr>
      </w:pPr>
    </w:p>
    <w:p w:rsidR="008A04A4" w:rsidRDefault="008A04A4" w:rsidP="008A04A4">
      <w:pPr>
        <w:pStyle w:val="1"/>
        <w:rPr>
          <w:rFonts w:hint="eastAsia"/>
        </w:rPr>
      </w:pPr>
      <w:r>
        <w:rPr>
          <w:rFonts w:hint="eastAsia"/>
        </w:rPr>
        <w:t>（</w:t>
      </w:r>
      <w:r>
        <w:t>給与の預金口座振込</w:t>
      </w:r>
      <w:r>
        <w:rPr>
          <w:rFonts w:hint="eastAsia"/>
        </w:rPr>
        <w:t>）</w:t>
      </w:r>
    </w:p>
    <w:p w:rsidR="008A04A4" w:rsidRDefault="008A04A4" w:rsidP="008A04A4">
      <w:pPr>
        <w:pStyle w:val="a3"/>
        <w:numPr>
          <w:ilvl w:val="0"/>
          <w:numId w:val="1"/>
        </w:numPr>
        <w:ind w:left="958" w:firstLineChars="0" w:hanging="958"/>
        <w:rPr>
          <w:rFonts w:hint="eastAsia"/>
        </w:rPr>
      </w:pPr>
      <w:r>
        <w:t>第８条の規定にかかわらず、給与は本人の希望により預金口座への振込方法を</w:t>
      </w:r>
      <w:r>
        <w:rPr>
          <w:rFonts w:hint="eastAsia"/>
        </w:rPr>
        <w:t>取</w:t>
      </w:r>
    </w:p>
    <w:p w:rsidR="008A04A4" w:rsidRDefault="008A04A4" w:rsidP="008A04A4">
      <w:pPr>
        <w:pStyle w:val="2ind1"/>
        <w:rPr>
          <w:rFonts w:hint="eastAsia"/>
        </w:rPr>
      </w:pPr>
      <w:r>
        <w:rPr>
          <w:rFonts w:hint="eastAsia"/>
        </w:rPr>
        <w:t>ることができる。</w:t>
      </w:r>
    </w:p>
    <w:p w:rsidR="008A04A4" w:rsidRDefault="008A04A4" w:rsidP="008A04A4">
      <w:pPr>
        <w:pStyle w:val="2ind1"/>
        <w:rPr>
          <w:rFonts w:hint="eastAsia"/>
        </w:rPr>
      </w:pPr>
    </w:p>
    <w:p w:rsidR="008A04A4" w:rsidRDefault="008A04A4" w:rsidP="008A04A4">
      <w:pPr>
        <w:pStyle w:val="11"/>
        <w:widowControl w:val="0"/>
        <w:adjustRightInd w:val="0"/>
        <w:rPr>
          <w:rFonts w:hAnsi="Arial" w:hint="eastAsia"/>
          <w:szCs w:val="24"/>
        </w:rPr>
      </w:pPr>
      <w:r>
        <w:rPr>
          <w:rFonts w:hAnsi="Arial"/>
          <w:szCs w:val="24"/>
        </w:rPr>
        <w:t>（休職期間中の給与）</w:t>
      </w:r>
    </w:p>
    <w:p w:rsidR="008A04A4" w:rsidRDefault="008A04A4" w:rsidP="008A04A4">
      <w:pPr>
        <w:pStyle w:val="a3"/>
        <w:rPr>
          <w:rFonts w:hint="eastAsia"/>
        </w:rPr>
      </w:pPr>
      <w:r>
        <w:t>第10条　就業規則第10条に規定する休職期間中の給与は次のとおりとする。</w:t>
      </w:r>
    </w:p>
    <w:p w:rsidR="008A04A4" w:rsidRDefault="008A04A4" w:rsidP="008A04A4">
      <w:pPr>
        <w:pStyle w:val="2ind2"/>
        <w:ind w:left="964" w:hanging="482"/>
        <w:rPr>
          <w:rFonts w:hint="eastAsia"/>
        </w:rPr>
      </w:pPr>
      <w:r>
        <w:rPr>
          <w:rFonts w:hint="eastAsia"/>
        </w:rPr>
        <w:t>（１）就業</w:t>
      </w:r>
      <w:r>
        <w:t>規則第</w:t>
      </w:r>
      <w:r>
        <w:t>10</w:t>
      </w:r>
      <w:r>
        <w:t>条第</w:t>
      </w:r>
      <w:r>
        <w:t>1</w:t>
      </w:r>
      <w:r>
        <w:t>号及び第２号による休職については、休職期間が６カ月に達するまでは基本給及び扶養手当の</w:t>
      </w:r>
      <w:r>
        <w:rPr>
          <w:rFonts w:ascii="ＭＳ 明朝" w:hAnsi="ＭＳ 明朝"/>
        </w:rPr>
        <w:t>○○分の○○</w:t>
      </w:r>
      <w:r>
        <w:t>を支給し、以後は支給しない。</w:t>
      </w:r>
    </w:p>
    <w:p w:rsidR="008A04A4" w:rsidRDefault="008A04A4" w:rsidP="008A04A4">
      <w:pPr>
        <w:pStyle w:val="2ind2"/>
        <w:ind w:left="964" w:hanging="482"/>
        <w:rPr>
          <w:rFonts w:hint="eastAsia"/>
        </w:rPr>
      </w:pPr>
      <w:r>
        <w:t>（２）就業規則第</w:t>
      </w:r>
      <w:r>
        <w:t>10</w:t>
      </w:r>
      <w:r>
        <w:t>条第</w:t>
      </w:r>
      <w:r>
        <w:t>4</w:t>
      </w:r>
      <w:r>
        <w:t>号による休職については、休職期間が１２カ月までは、基本給及び扶養手当</w:t>
      </w:r>
      <w:r>
        <w:rPr>
          <w:rFonts w:ascii="ＭＳ 明朝" w:hAnsi="ＭＳ 明朝"/>
        </w:rPr>
        <w:t>の○○分の○○</w:t>
      </w:r>
      <w:r>
        <w:t>を支給し、以後は</w:t>
      </w:r>
      <w:r>
        <w:rPr>
          <w:rFonts w:ascii="ＭＳ 明朝" w:hAnsi="ＭＳ 明朝"/>
        </w:rPr>
        <w:t>○○分の○○</w:t>
      </w:r>
      <w:r>
        <w:t>を必要と認める期間支給する。</w:t>
      </w:r>
    </w:p>
    <w:p w:rsidR="008A04A4" w:rsidRDefault="008A04A4" w:rsidP="008A04A4">
      <w:pPr>
        <w:rPr>
          <w:rFonts w:ascii="Century" w:hAnsi="Century" w:hint="eastAsia"/>
        </w:rPr>
      </w:pPr>
    </w:p>
    <w:p w:rsidR="008A04A4" w:rsidRDefault="008A04A4" w:rsidP="008A04A4">
      <w:pPr>
        <w:pStyle w:val="a6"/>
        <w:numPr>
          <w:ilvl w:val="0"/>
          <w:numId w:val="2"/>
        </w:numPr>
        <w:rPr>
          <w:rFonts w:hint="eastAsia"/>
        </w:rPr>
      </w:pPr>
      <w:r>
        <w:t>基本給</w:t>
      </w:r>
    </w:p>
    <w:p w:rsidR="008A04A4" w:rsidRDefault="008A04A4" w:rsidP="008A04A4">
      <w:pPr>
        <w:pStyle w:val="1"/>
        <w:rPr>
          <w:rFonts w:hint="eastAsia"/>
        </w:rPr>
      </w:pPr>
      <w:r>
        <w:t>（基本給の構成）</w:t>
      </w:r>
    </w:p>
    <w:p w:rsidR="008A04A4" w:rsidRDefault="008A04A4" w:rsidP="008A04A4">
      <w:pPr>
        <w:pStyle w:val="a3"/>
        <w:rPr>
          <w:rFonts w:hint="eastAsia"/>
        </w:rPr>
      </w:pPr>
      <w:r>
        <w:rPr>
          <w:rFonts w:hint="eastAsia"/>
        </w:rPr>
        <w:t xml:space="preserve">第11条　</w:t>
      </w:r>
      <w:r>
        <w:t>職員の給与は本人給、仕事給をもって構成し、年齢、経験、学歴、技能及び職務の内容等を考慮して各人ごとに決定する。</w:t>
      </w:r>
    </w:p>
    <w:p w:rsidR="008A04A4" w:rsidRDefault="008A04A4" w:rsidP="008A04A4">
      <w:pPr>
        <w:pStyle w:val="a3"/>
        <w:rPr>
          <w:rFonts w:hint="eastAsia"/>
        </w:rPr>
      </w:pPr>
      <w:r>
        <w:t>２　本人給は、在籍職員については新たに設定した額をもって本人給とし、以降は、毎年、別表１に定める「本人給表」にもとづいて昇給を行なうものとする。</w:t>
      </w:r>
    </w:p>
    <w:p w:rsidR="008A04A4" w:rsidRDefault="008A04A4" w:rsidP="008A04A4">
      <w:pPr>
        <w:pStyle w:val="a3"/>
        <w:rPr>
          <w:rFonts w:hint="eastAsia"/>
        </w:rPr>
      </w:pPr>
      <w:r>
        <w:t>３　「本人給」は原則として変更しないものとする。</w:t>
      </w:r>
    </w:p>
    <w:p w:rsidR="008A04A4" w:rsidRDefault="008A04A4" w:rsidP="008A04A4">
      <w:pPr>
        <w:pStyle w:val="a3"/>
        <w:rPr>
          <w:rFonts w:hint="eastAsia"/>
        </w:rPr>
      </w:pPr>
      <w:r>
        <w:t>４　仕事給は等級ごとに上限額を設け、これを</w:t>
      </w:r>
      <w:r>
        <w:rPr>
          <w:rFonts w:hint="eastAsia"/>
        </w:rPr>
        <w:t>超え</w:t>
      </w:r>
      <w:r>
        <w:t>なければならない事情の場合は理事長が決定する。</w:t>
      </w:r>
    </w:p>
    <w:p w:rsidR="008A04A4" w:rsidRDefault="008A04A4" w:rsidP="008A04A4">
      <w:pPr>
        <w:pStyle w:val="a3"/>
        <w:rPr>
          <w:rFonts w:hint="eastAsia"/>
        </w:rPr>
      </w:pPr>
      <w:r>
        <w:t>５　仕事給は、職員が格付けされた仕事給の求める等級基準に対し、その達成度の人事考課の結果をもとに別表２「仕事給表」に定められた仕事給を支給する。</w:t>
      </w:r>
    </w:p>
    <w:p w:rsidR="008A04A4" w:rsidRDefault="008A04A4" w:rsidP="008A04A4">
      <w:pPr>
        <w:pStyle w:val="a3"/>
        <w:rPr>
          <w:rFonts w:hint="eastAsia"/>
        </w:rPr>
      </w:pPr>
      <w:r>
        <w:t>６　「仕事給」は年度毎に変更することが出来るものとする。</w:t>
      </w:r>
    </w:p>
    <w:p w:rsidR="008A04A4" w:rsidRDefault="008A04A4" w:rsidP="008A04A4">
      <w:pPr>
        <w:pStyle w:val="a3"/>
        <w:rPr>
          <w:rFonts w:hint="eastAsia"/>
        </w:rPr>
      </w:pPr>
      <w:r>
        <w:t>７　職員の初任給は、別表３に定める「初任給表」による。</w:t>
      </w:r>
    </w:p>
    <w:p w:rsidR="008A04A4" w:rsidRDefault="008A04A4" w:rsidP="008A04A4">
      <w:pPr>
        <w:pStyle w:val="a3"/>
        <w:rPr>
          <w:rFonts w:hint="eastAsia"/>
        </w:rPr>
      </w:pPr>
    </w:p>
    <w:p w:rsidR="008A04A4" w:rsidRDefault="008A04A4" w:rsidP="008A04A4">
      <w:pPr>
        <w:pStyle w:val="a6"/>
        <w:rPr>
          <w:rFonts w:hint="eastAsia"/>
        </w:rPr>
      </w:pPr>
      <w:r>
        <w:rPr>
          <w:rFonts w:hint="eastAsia"/>
        </w:rPr>
        <w:t xml:space="preserve">第３章　</w:t>
      </w:r>
      <w:r>
        <w:t>昇（降）給及び昇（降）格</w:t>
      </w:r>
    </w:p>
    <w:p w:rsidR="008A04A4" w:rsidRDefault="008A04A4" w:rsidP="008A04A4">
      <w:pPr>
        <w:pStyle w:val="1"/>
        <w:rPr>
          <w:rFonts w:hint="eastAsia"/>
        </w:rPr>
      </w:pPr>
      <w:r>
        <w:t>（昇給の種類及び時期）</w:t>
      </w:r>
    </w:p>
    <w:p w:rsidR="008A04A4" w:rsidRDefault="008A04A4" w:rsidP="008A04A4">
      <w:pPr>
        <w:pStyle w:val="a3"/>
        <w:rPr>
          <w:rFonts w:hint="eastAsia"/>
        </w:rPr>
      </w:pPr>
      <w:r>
        <w:rPr>
          <w:rFonts w:hint="eastAsia"/>
        </w:rPr>
        <w:t xml:space="preserve">第12条　</w:t>
      </w:r>
      <w:r>
        <w:t>昇給は、定期昇給、ベースアップおよび昇格昇給とに区分する。</w:t>
      </w:r>
    </w:p>
    <w:p w:rsidR="008A04A4" w:rsidRDefault="008A04A4" w:rsidP="008A04A4">
      <w:pPr>
        <w:pStyle w:val="a3"/>
        <w:rPr>
          <w:rFonts w:hint="eastAsia"/>
        </w:rPr>
      </w:pPr>
      <w:r>
        <w:t>２　昇給は、特別の定めのある者以外は、在職１年以上の職員に対し、毎年４月に実施するものとする。</w:t>
      </w:r>
    </w:p>
    <w:p w:rsidR="008A04A4" w:rsidRDefault="008A04A4" w:rsidP="008A04A4">
      <w:pPr>
        <w:pStyle w:val="a3"/>
      </w:pPr>
      <w:r>
        <w:t>３　前各号の規定にかかわらず、職員が満</w:t>
      </w:r>
      <w:r>
        <w:t>○○</w:t>
      </w:r>
      <w:r>
        <w:t>歳に達した日以降直近の３月３１日を超えて在職する場合は、当該３月３１日の翌日以降昇給させることはできない。</w:t>
      </w:r>
    </w:p>
    <w:p w:rsidR="008A04A4" w:rsidRDefault="008A04A4" w:rsidP="008A04A4">
      <w:pPr>
        <w:rPr>
          <w:rFonts w:hint="eastAsia"/>
        </w:rPr>
      </w:pPr>
      <w:r>
        <w:lastRenderedPageBreak/>
        <w:t>（定期昇給）</w:t>
      </w:r>
    </w:p>
    <w:p w:rsidR="008A04A4" w:rsidRDefault="008A04A4" w:rsidP="008A04A4">
      <w:pPr>
        <w:pStyle w:val="a3"/>
        <w:rPr>
          <w:rFonts w:hint="eastAsia"/>
        </w:rPr>
      </w:pPr>
      <w:r>
        <w:rPr>
          <w:rFonts w:hint="eastAsia"/>
        </w:rPr>
        <w:t xml:space="preserve">第13条　</w:t>
      </w:r>
      <w:r>
        <w:t>定期昇給は、本人給は別表１の「本人給表」により昇給する。仕事給については、過去１年間を対象とした人事考課の結果をもとに、別に定める別表２－１及び別表２－２「仕事給表」によって決定するものとする。</w:t>
      </w:r>
    </w:p>
    <w:p w:rsidR="008A04A4" w:rsidRDefault="008A04A4" w:rsidP="008A04A4">
      <w:pPr>
        <w:pStyle w:val="a3"/>
        <w:rPr>
          <w:rFonts w:hint="eastAsia"/>
        </w:rPr>
      </w:pPr>
      <w:r>
        <w:t>２　この本人給と仕事給の合計額を、その年度の給与月額とする。</w:t>
      </w:r>
    </w:p>
    <w:p w:rsidR="008A04A4" w:rsidRDefault="008A04A4" w:rsidP="008A04A4">
      <w:pPr>
        <w:pStyle w:val="a3"/>
        <w:rPr>
          <w:rFonts w:hint="eastAsia"/>
        </w:rPr>
      </w:pPr>
    </w:p>
    <w:p w:rsidR="008A04A4" w:rsidRDefault="008A04A4" w:rsidP="008A04A4">
      <w:pPr>
        <w:pStyle w:val="1"/>
        <w:rPr>
          <w:rFonts w:hint="eastAsia"/>
        </w:rPr>
      </w:pPr>
      <w:r>
        <w:t>（ベースアップ又はベースダウン）</w:t>
      </w:r>
    </w:p>
    <w:p w:rsidR="008A04A4" w:rsidRDefault="008A04A4" w:rsidP="008A04A4">
      <w:pPr>
        <w:pStyle w:val="a3"/>
        <w:rPr>
          <w:rFonts w:hint="eastAsia"/>
        </w:rPr>
      </w:pPr>
      <w:r>
        <w:rPr>
          <w:rFonts w:hint="eastAsia"/>
        </w:rPr>
        <w:t xml:space="preserve">第14条　</w:t>
      </w:r>
      <w:r>
        <w:t>ベースアップ又はベースダウンは、法人の業績、賃金構造の是正、将来の人材確保対策、一般社会の賃金情勢などを考慮し、人事政策の一環として必要であると法人が判断したときに、これを行なうものとする。</w:t>
      </w:r>
    </w:p>
    <w:p w:rsidR="008A04A4" w:rsidRDefault="008A04A4" w:rsidP="008A04A4">
      <w:pPr>
        <w:pStyle w:val="a3"/>
        <w:rPr>
          <w:rFonts w:hint="eastAsia"/>
        </w:rPr>
      </w:pPr>
      <w:r>
        <w:t>２　ベースアップ及びベースダウンの金額及び配分方法は、その都度法人が決定するものとする。</w:t>
      </w:r>
    </w:p>
    <w:p w:rsidR="008A04A4" w:rsidRDefault="008A04A4" w:rsidP="008A04A4">
      <w:pPr>
        <w:pStyle w:val="a3"/>
        <w:rPr>
          <w:rFonts w:hint="eastAsia"/>
        </w:rPr>
      </w:pPr>
    </w:p>
    <w:p w:rsidR="008A04A4" w:rsidRDefault="008A04A4" w:rsidP="008A04A4">
      <w:pPr>
        <w:pStyle w:val="1"/>
        <w:rPr>
          <w:rFonts w:hint="eastAsia"/>
        </w:rPr>
      </w:pPr>
      <w:r>
        <w:t>（昇格昇給）</w:t>
      </w:r>
    </w:p>
    <w:p w:rsidR="008A04A4" w:rsidRDefault="008A04A4" w:rsidP="008A04A4">
      <w:pPr>
        <w:pStyle w:val="a3"/>
        <w:rPr>
          <w:rFonts w:hint="eastAsia"/>
        </w:rPr>
      </w:pPr>
      <w:r>
        <w:rPr>
          <w:rFonts w:hint="eastAsia"/>
        </w:rPr>
        <w:t xml:space="preserve">第15条　</w:t>
      </w:r>
      <w:r>
        <w:t>昇格昇給は、昇進、昇降格規程にもとづいて昇格したとき、「仕事給表」、「役付手当」をもとに、これを行うものとする。</w:t>
      </w:r>
    </w:p>
    <w:p w:rsidR="008A04A4" w:rsidRDefault="008A04A4" w:rsidP="008A04A4">
      <w:pPr>
        <w:pStyle w:val="a3"/>
        <w:ind w:left="0" w:firstLineChars="0" w:firstLine="0"/>
        <w:rPr>
          <w:rFonts w:hint="eastAsia"/>
        </w:rPr>
      </w:pPr>
    </w:p>
    <w:p w:rsidR="008A04A4" w:rsidRDefault="008A04A4" w:rsidP="008A04A4">
      <w:pPr>
        <w:pStyle w:val="a6"/>
        <w:rPr>
          <w:rFonts w:hint="eastAsia"/>
        </w:rPr>
      </w:pPr>
      <w:r>
        <w:t>第４章　手当</w:t>
      </w:r>
    </w:p>
    <w:p w:rsidR="008A04A4" w:rsidRDefault="008A04A4" w:rsidP="008A04A4">
      <w:pPr>
        <w:pStyle w:val="1"/>
        <w:rPr>
          <w:rFonts w:hint="eastAsia"/>
        </w:rPr>
      </w:pPr>
      <w:r>
        <w:t>（手当の種類及び額等）</w:t>
      </w:r>
    </w:p>
    <w:p w:rsidR="008A04A4" w:rsidRDefault="008A04A4" w:rsidP="008A04A4">
      <w:pPr>
        <w:pStyle w:val="a3"/>
        <w:rPr>
          <w:rFonts w:hint="eastAsia"/>
        </w:rPr>
      </w:pPr>
      <w:r>
        <w:rPr>
          <w:rFonts w:hint="eastAsia"/>
        </w:rPr>
        <w:t xml:space="preserve">第16条　</w:t>
      </w:r>
      <w:r>
        <w:t>職員に対し、別表４及び別表５に定める手当を支給する。</w:t>
      </w:r>
    </w:p>
    <w:p w:rsidR="008A04A4" w:rsidRDefault="008A04A4" w:rsidP="008A04A4">
      <w:pPr>
        <w:pStyle w:val="a3"/>
        <w:ind w:leftChars="100" w:firstLineChars="0" w:firstLine="0"/>
        <w:rPr>
          <w:rFonts w:hint="eastAsia"/>
        </w:rPr>
      </w:pPr>
      <w:r>
        <w:t>本規程への移行により減額する場合は、理事長が妥当な額と認めた調整給を支給することが出来るものとする。</w:t>
      </w:r>
    </w:p>
    <w:p w:rsidR="008A04A4" w:rsidRDefault="008A04A4" w:rsidP="008A04A4">
      <w:pPr>
        <w:pStyle w:val="a3"/>
      </w:pPr>
      <w:r>
        <w:t>２　資格手当は上位資格のみ支給し、重複支給はしないものとする。</w:t>
      </w:r>
    </w:p>
    <w:p w:rsidR="008A04A4" w:rsidRDefault="008A04A4" w:rsidP="008A04A4">
      <w:pPr>
        <w:rPr>
          <w:rFonts w:hint="eastAsia"/>
          <w:b/>
          <w:bCs/>
        </w:rPr>
      </w:pPr>
    </w:p>
    <w:p w:rsidR="008A04A4" w:rsidRDefault="008A04A4" w:rsidP="008A04A4">
      <w:pPr>
        <w:pStyle w:val="a6"/>
        <w:rPr>
          <w:rFonts w:hint="eastAsia"/>
        </w:rPr>
      </w:pPr>
      <w:r>
        <w:t>第５章　退職金</w:t>
      </w:r>
    </w:p>
    <w:p w:rsidR="008A04A4" w:rsidRDefault="008A04A4" w:rsidP="008A04A4">
      <w:pPr>
        <w:rPr>
          <w:rFonts w:hint="eastAsia"/>
        </w:rPr>
      </w:pPr>
      <w:r>
        <w:t>（退職金の支給）</w:t>
      </w:r>
    </w:p>
    <w:p w:rsidR="008A04A4" w:rsidRDefault="008A04A4" w:rsidP="008A04A4">
      <w:pPr>
        <w:pStyle w:val="a3"/>
        <w:rPr>
          <w:rFonts w:hint="eastAsia"/>
        </w:rPr>
      </w:pPr>
      <w:r>
        <w:rPr>
          <w:rFonts w:hint="eastAsia"/>
        </w:rPr>
        <w:t xml:space="preserve">第17条　</w:t>
      </w:r>
      <w:r>
        <w:t>職員が退職した場合は、社会福祉施設職員等退職手当共済法に定める退職手当共済契約により、退職金を支給する。</w:t>
      </w:r>
    </w:p>
    <w:p w:rsidR="008A04A4" w:rsidRDefault="008A04A4" w:rsidP="008A04A4">
      <w:pPr>
        <w:pStyle w:val="a3"/>
        <w:ind w:leftChars="100" w:firstLineChars="0" w:firstLine="0"/>
        <w:rPr>
          <w:rFonts w:hint="eastAsia"/>
        </w:rPr>
      </w:pPr>
      <w:r>
        <w:t>ただし、嘱託ならびに臨時に雇い入れた者、パートタイム職員には、これを適用しない。</w:t>
      </w:r>
    </w:p>
    <w:p w:rsidR="008A04A4" w:rsidRDefault="008A04A4" w:rsidP="008A04A4">
      <w:pPr>
        <w:pStyle w:val="a3"/>
      </w:pPr>
      <w:r>
        <w:t>２　定年退職者、死亡退職者等で特に功労のあったと認められる者に対して法人より功労金を支給することができる。</w:t>
      </w:r>
    </w:p>
    <w:p w:rsidR="008A04A4" w:rsidRDefault="008A04A4" w:rsidP="008A04A4">
      <w:pPr>
        <w:rPr>
          <w:rFonts w:hint="eastAsia"/>
          <w:b/>
          <w:bCs/>
        </w:rPr>
      </w:pPr>
    </w:p>
    <w:p w:rsidR="008A04A4" w:rsidRDefault="008A04A4" w:rsidP="008A04A4">
      <w:pPr>
        <w:pStyle w:val="a6"/>
        <w:rPr>
          <w:rFonts w:hint="eastAsia"/>
        </w:rPr>
      </w:pPr>
      <w:r>
        <w:t>第６章　旅費</w:t>
      </w:r>
    </w:p>
    <w:p w:rsidR="008A04A4" w:rsidRDefault="008A04A4" w:rsidP="008A04A4">
      <w:pPr>
        <w:pStyle w:val="1"/>
        <w:rPr>
          <w:rFonts w:hint="eastAsia"/>
        </w:rPr>
      </w:pPr>
      <w:r>
        <w:t>（旅費）</w:t>
      </w:r>
    </w:p>
    <w:p w:rsidR="008A04A4" w:rsidRDefault="008A04A4" w:rsidP="008A04A4">
      <w:pPr>
        <w:pStyle w:val="a3"/>
        <w:rPr>
          <w:rFonts w:hint="eastAsia"/>
        </w:rPr>
      </w:pPr>
      <w:r>
        <w:rPr>
          <w:rFonts w:hint="eastAsia"/>
        </w:rPr>
        <w:t xml:space="preserve">第18条　</w:t>
      </w:r>
      <w:r>
        <w:t>就業規則第40条による出張命令を受けて旅行する場合は、別表６に定める旅費を支給する。</w:t>
      </w:r>
    </w:p>
    <w:p w:rsidR="008A04A4" w:rsidRDefault="008A04A4" w:rsidP="008A04A4">
      <w:pPr>
        <w:pStyle w:val="a3"/>
        <w:rPr>
          <w:rFonts w:hint="eastAsia"/>
        </w:rPr>
      </w:pPr>
      <w:r>
        <w:t>２　前項の規程にかかわらず都内出張及び近接地への出張については、鉄道運賃等の実費のみ支給する。</w:t>
      </w:r>
    </w:p>
    <w:p w:rsidR="008A04A4" w:rsidRDefault="008A04A4" w:rsidP="008A04A4">
      <w:pPr>
        <w:pStyle w:val="a3"/>
        <w:rPr>
          <w:rFonts w:hint="eastAsia"/>
        </w:rPr>
      </w:pPr>
    </w:p>
    <w:p w:rsidR="008A04A4" w:rsidRDefault="008A04A4" w:rsidP="008A04A4">
      <w:pPr>
        <w:pStyle w:val="a3"/>
        <w:rPr>
          <w:rFonts w:hint="eastAsia"/>
        </w:rPr>
      </w:pPr>
    </w:p>
    <w:p w:rsidR="008A04A4" w:rsidRDefault="008A04A4" w:rsidP="008A04A4">
      <w:pPr>
        <w:rPr>
          <w:rFonts w:hint="eastAsia"/>
        </w:rPr>
      </w:pPr>
      <w:r>
        <w:lastRenderedPageBreak/>
        <w:t>（特別旅費）</w:t>
      </w:r>
    </w:p>
    <w:p w:rsidR="008A04A4" w:rsidRDefault="008A04A4" w:rsidP="008A04A4">
      <w:pPr>
        <w:pStyle w:val="a3"/>
      </w:pPr>
      <w:r>
        <w:t>第19条　特別の事情により前条の規定により難いときは、その事情を考慮し増額支給することができる。</w:t>
      </w:r>
    </w:p>
    <w:p w:rsidR="008A04A4" w:rsidRDefault="008A04A4" w:rsidP="008A04A4">
      <w:pPr>
        <w:rPr>
          <w:rFonts w:hint="eastAsia"/>
        </w:rPr>
      </w:pPr>
    </w:p>
    <w:p w:rsidR="008A04A4" w:rsidRDefault="008A04A4" w:rsidP="008A04A4">
      <w:pPr>
        <w:pStyle w:val="1"/>
        <w:rPr>
          <w:rFonts w:hint="eastAsia"/>
        </w:rPr>
      </w:pPr>
      <w:r>
        <w:t>（旅費の支給方法）</w:t>
      </w:r>
    </w:p>
    <w:p w:rsidR="008A04A4" w:rsidRDefault="008A04A4" w:rsidP="008A04A4">
      <w:pPr>
        <w:pStyle w:val="a3"/>
      </w:pPr>
      <w:r>
        <w:t>第20条　旅費は、原則として任務終了後支給するが、必要により旅行前に概算額を支給し、帰任後精算することができる。</w:t>
      </w:r>
    </w:p>
    <w:p w:rsidR="008A04A4" w:rsidRDefault="008A04A4" w:rsidP="008A04A4">
      <w:pPr>
        <w:rPr>
          <w:rFonts w:hint="eastAsia"/>
          <w:b/>
          <w:bCs/>
        </w:rPr>
      </w:pPr>
    </w:p>
    <w:p w:rsidR="008A04A4" w:rsidRDefault="008A04A4" w:rsidP="008A04A4">
      <w:pPr>
        <w:pStyle w:val="a6"/>
        <w:rPr>
          <w:rFonts w:hint="eastAsia"/>
        </w:rPr>
      </w:pPr>
      <w:r>
        <w:t>第７章　改正</w:t>
      </w:r>
    </w:p>
    <w:p w:rsidR="008A04A4" w:rsidRDefault="008A04A4" w:rsidP="008A04A4">
      <w:pPr>
        <w:pStyle w:val="1"/>
        <w:rPr>
          <w:rFonts w:hint="eastAsia"/>
        </w:rPr>
      </w:pPr>
      <w:r>
        <w:t>（改正）</w:t>
      </w:r>
    </w:p>
    <w:p w:rsidR="008A04A4" w:rsidRDefault="008A04A4" w:rsidP="008A04A4">
      <w:pPr>
        <w:pStyle w:val="a3"/>
        <w:rPr>
          <w:rFonts w:hint="eastAsia"/>
        </w:rPr>
      </w:pPr>
      <w:r>
        <w:rPr>
          <w:rFonts w:hint="eastAsia"/>
        </w:rPr>
        <w:t xml:space="preserve">第21条　</w:t>
      </w:r>
      <w:r>
        <w:t>この規程を変更、改正、廃止するときは、職員の代表者の意見を聞いたうえ、</w:t>
      </w:r>
      <w:r>
        <w:t>○○</w:t>
      </w:r>
      <w:r>
        <w:t>法人</w:t>
      </w:r>
      <w:r>
        <w:rPr>
          <w:rFonts w:hAnsi="ＭＳ 明朝"/>
        </w:rPr>
        <w:t>○○</w:t>
      </w:r>
      <w:r>
        <w:t>会理事会の議決を経るものとする。</w:t>
      </w:r>
    </w:p>
    <w:p w:rsidR="008A04A4" w:rsidRDefault="008A04A4" w:rsidP="008A04A4">
      <w:pPr>
        <w:pStyle w:val="a3"/>
        <w:ind w:left="0" w:firstLineChars="0" w:firstLine="0"/>
        <w:rPr>
          <w:rFonts w:hint="eastAsia"/>
        </w:rPr>
      </w:pPr>
    </w:p>
    <w:p w:rsidR="008A04A4" w:rsidRDefault="008A04A4" w:rsidP="008A04A4">
      <w:pPr>
        <w:pStyle w:val="1"/>
        <w:rPr>
          <w:rFonts w:hint="eastAsia"/>
        </w:rPr>
      </w:pPr>
      <w:r>
        <w:t>附</w:t>
      </w:r>
      <w:r>
        <w:rPr>
          <w:rFonts w:hint="eastAsia"/>
        </w:rPr>
        <w:t xml:space="preserve">　</w:t>
      </w:r>
      <w:r>
        <w:t>則</w:t>
      </w:r>
    </w:p>
    <w:p w:rsidR="008A04A4" w:rsidRDefault="008A04A4" w:rsidP="008A04A4">
      <w:pPr>
        <w:pStyle w:val="2ind1"/>
      </w:pPr>
      <w:r>
        <w:t>この規程は、平成○年○月○日から改正施行する。</w:t>
      </w:r>
    </w:p>
    <w:p w:rsidR="00B1577E" w:rsidRPr="008A04A4" w:rsidRDefault="00B1577E">
      <w:bookmarkStart w:id="0" w:name="_GoBack"/>
      <w:bookmarkEnd w:id="0"/>
    </w:p>
    <w:sectPr w:rsidR="00B1577E" w:rsidRPr="008A04A4">
      <w:footerReference w:type="even" r:id="rId6"/>
      <w:pgSz w:w="11906" w:h="16838" w:code="9"/>
      <w:pgMar w:top="1418" w:right="1134" w:bottom="1418" w:left="1134" w:header="680" w:footer="680" w:gutter="0"/>
      <w:pgNumType w:start="1"/>
      <w:cols w:space="425"/>
      <w:titlePg/>
      <w:docGrid w:type="linesAndChars" w:linePitch="350"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14B8" w:rsidRDefault="008A04A4">
    <w:pPr>
      <w:pStyle w:val="a7"/>
      <w:framePr w:wrap="around" w:vAnchor="text" w:hAnchor="margin" w:xAlign="outside" w:y="1"/>
      <w:rPr>
        <w:rStyle w:val="a5"/>
      </w:rPr>
    </w:pPr>
  </w:p>
  <w:p w:rsidR="00E114B8" w:rsidRDefault="008A04A4" w:rsidP="004129BB">
    <w:pPr>
      <w:pStyle w:val="a7"/>
      <w:ind w:right="360"/>
      <w:rPr>
        <w:rFonts w:hint="eastAsia"/>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AE46BD"/>
    <w:multiLevelType w:val="hybridMultilevel"/>
    <w:tmpl w:val="2FD0BA22"/>
    <w:lvl w:ilvl="0" w:tplc="3BA0E59C">
      <w:start w:val="2"/>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B943794"/>
    <w:multiLevelType w:val="hybridMultilevel"/>
    <w:tmpl w:val="3F3A1864"/>
    <w:lvl w:ilvl="0" w:tplc="8CDEB4D0">
      <w:start w:val="8"/>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4A4"/>
    <w:rsid w:val="0000594E"/>
    <w:rsid w:val="00015880"/>
    <w:rsid w:val="00021D9F"/>
    <w:rsid w:val="00040988"/>
    <w:rsid w:val="00047FCC"/>
    <w:rsid w:val="000547A3"/>
    <w:rsid w:val="00063F9A"/>
    <w:rsid w:val="000646ED"/>
    <w:rsid w:val="00064AF4"/>
    <w:rsid w:val="00085EDB"/>
    <w:rsid w:val="00086403"/>
    <w:rsid w:val="00097786"/>
    <w:rsid w:val="000A405C"/>
    <w:rsid w:val="000A4DBF"/>
    <w:rsid w:val="000A593D"/>
    <w:rsid w:val="000A6CF9"/>
    <w:rsid w:val="000B038A"/>
    <w:rsid w:val="000B55C8"/>
    <w:rsid w:val="000B5AFE"/>
    <w:rsid w:val="000C780F"/>
    <w:rsid w:val="000E5914"/>
    <w:rsid w:val="000F765C"/>
    <w:rsid w:val="00113752"/>
    <w:rsid w:val="00121AC4"/>
    <w:rsid w:val="0012679C"/>
    <w:rsid w:val="00131359"/>
    <w:rsid w:val="0013317B"/>
    <w:rsid w:val="0015504B"/>
    <w:rsid w:val="00161135"/>
    <w:rsid w:val="0016247C"/>
    <w:rsid w:val="001655A6"/>
    <w:rsid w:val="00167C26"/>
    <w:rsid w:val="001704DE"/>
    <w:rsid w:val="00174284"/>
    <w:rsid w:val="001762CE"/>
    <w:rsid w:val="00176BDE"/>
    <w:rsid w:val="00177FE0"/>
    <w:rsid w:val="001825DB"/>
    <w:rsid w:val="00184917"/>
    <w:rsid w:val="001903F5"/>
    <w:rsid w:val="00192873"/>
    <w:rsid w:val="00193252"/>
    <w:rsid w:val="001A1BD5"/>
    <w:rsid w:val="001A3736"/>
    <w:rsid w:val="001B3529"/>
    <w:rsid w:val="001B3762"/>
    <w:rsid w:val="001B3BC3"/>
    <w:rsid w:val="001B6DFD"/>
    <w:rsid w:val="001C03F3"/>
    <w:rsid w:val="001C208F"/>
    <w:rsid w:val="001C7B25"/>
    <w:rsid w:val="001D1D35"/>
    <w:rsid w:val="001D2B8B"/>
    <w:rsid w:val="001D2C3F"/>
    <w:rsid w:val="001D517A"/>
    <w:rsid w:val="001F0B6F"/>
    <w:rsid w:val="001F39EF"/>
    <w:rsid w:val="00200CFB"/>
    <w:rsid w:val="0020229F"/>
    <w:rsid w:val="00202493"/>
    <w:rsid w:val="00210451"/>
    <w:rsid w:val="0021228A"/>
    <w:rsid w:val="00225F10"/>
    <w:rsid w:val="002273F7"/>
    <w:rsid w:val="00227A75"/>
    <w:rsid w:val="0023646A"/>
    <w:rsid w:val="0025718A"/>
    <w:rsid w:val="00270A52"/>
    <w:rsid w:val="002773F0"/>
    <w:rsid w:val="002A4303"/>
    <w:rsid w:val="002A5248"/>
    <w:rsid w:val="002A5E15"/>
    <w:rsid w:val="002A6653"/>
    <w:rsid w:val="002B03CA"/>
    <w:rsid w:val="002C1EBF"/>
    <w:rsid w:val="002C2BEF"/>
    <w:rsid w:val="002C5341"/>
    <w:rsid w:val="002C672E"/>
    <w:rsid w:val="002C7137"/>
    <w:rsid w:val="002D03FC"/>
    <w:rsid w:val="002D0BFD"/>
    <w:rsid w:val="002D1467"/>
    <w:rsid w:val="002D4417"/>
    <w:rsid w:val="002E3652"/>
    <w:rsid w:val="002E4AA4"/>
    <w:rsid w:val="002E6579"/>
    <w:rsid w:val="002F4C95"/>
    <w:rsid w:val="002F5460"/>
    <w:rsid w:val="0030016E"/>
    <w:rsid w:val="003002EB"/>
    <w:rsid w:val="003040C8"/>
    <w:rsid w:val="0030725D"/>
    <w:rsid w:val="00310033"/>
    <w:rsid w:val="0031724E"/>
    <w:rsid w:val="00320D90"/>
    <w:rsid w:val="00323BC6"/>
    <w:rsid w:val="0032624B"/>
    <w:rsid w:val="0033221C"/>
    <w:rsid w:val="0034127A"/>
    <w:rsid w:val="00345EA5"/>
    <w:rsid w:val="00346208"/>
    <w:rsid w:val="003469E5"/>
    <w:rsid w:val="00351806"/>
    <w:rsid w:val="00357559"/>
    <w:rsid w:val="00364A26"/>
    <w:rsid w:val="0037092B"/>
    <w:rsid w:val="00374A40"/>
    <w:rsid w:val="003801E0"/>
    <w:rsid w:val="00385829"/>
    <w:rsid w:val="003B3456"/>
    <w:rsid w:val="003B68E2"/>
    <w:rsid w:val="003C06AC"/>
    <w:rsid w:val="003C2CE4"/>
    <w:rsid w:val="003D01EE"/>
    <w:rsid w:val="003D1FC5"/>
    <w:rsid w:val="003D3947"/>
    <w:rsid w:val="003D66CD"/>
    <w:rsid w:val="003E3239"/>
    <w:rsid w:val="003E36DC"/>
    <w:rsid w:val="003F37F9"/>
    <w:rsid w:val="003F3D2F"/>
    <w:rsid w:val="003F4BCD"/>
    <w:rsid w:val="003F5631"/>
    <w:rsid w:val="00413DDF"/>
    <w:rsid w:val="0041636E"/>
    <w:rsid w:val="00423301"/>
    <w:rsid w:val="00426008"/>
    <w:rsid w:val="00430CFB"/>
    <w:rsid w:val="00435E34"/>
    <w:rsid w:val="004446F6"/>
    <w:rsid w:val="0044553C"/>
    <w:rsid w:val="00467214"/>
    <w:rsid w:val="00472521"/>
    <w:rsid w:val="00477895"/>
    <w:rsid w:val="00480EAB"/>
    <w:rsid w:val="00481AAB"/>
    <w:rsid w:val="004B5A6A"/>
    <w:rsid w:val="004C06C5"/>
    <w:rsid w:val="004C108B"/>
    <w:rsid w:val="004C2C1E"/>
    <w:rsid w:val="004C7787"/>
    <w:rsid w:val="004D4514"/>
    <w:rsid w:val="004D5278"/>
    <w:rsid w:val="004E1506"/>
    <w:rsid w:val="004E4216"/>
    <w:rsid w:val="004E4FBF"/>
    <w:rsid w:val="004F2660"/>
    <w:rsid w:val="004F33BE"/>
    <w:rsid w:val="00500DA9"/>
    <w:rsid w:val="005033ED"/>
    <w:rsid w:val="005102FA"/>
    <w:rsid w:val="00516FBF"/>
    <w:rsid w:val="00535D49"/>
    <w:rsid w:val="00543FF6"/>
    <w:rsid w:val="0054460C"/>
    <w:rsid w:val="00547D24"/>
    <w:rsid w:val="00552C60"/>
    <w:rsid w:val="005548D1"/>
    <w:rsid w:val="00563E23"/>
    <w:rsid w:val="00566EB2"/>
    <w:rsid w:val="00581D17"/>
    <w:rsid w:val="00586E57"/>
    <w:rsid w:val="005A0664"/>
    <w:rsid w:val="005A6C71"/>
    <w:rsid w:val="005B3627"/>
    <w:rsid w:val="005B532B"/>
    <w:rsid w:val="005B546B"/>
    <w:rsid w:val="005B5B09"/>
    <w:rsid w:val="005C3F2D"/>
    <w:rsid w:val="005D4CF2"/>
    <w:rsid w:val="005D6E96"/>
    <w:rsid w:val="005E13CB"/>
    <w:rsid w:val="005E155D"/>
    <w:rsid w:val="005E514F"/>
    <w:rsid w:val="005F6C71"/>
    <w:rsid w:val="0060212E"/>
    <w:rsid w:val="0060392E"/>
    <w:rsid w:val="00613EB7"/>
    <w:rsid w:val="00625868"/>
    <w:rsid w:val="0063060E"/>
    <w:rsid w:val="0065092D"/>
    <w:rsid w:val="006545AB"/>
    <w:rsid w:val="00661D18"/>
    <w:rsid w:val="00667338"/>
    <w:rsid w:val="0067055D"/>
    <w:rsid w:val="0067674D"/>
    <w:rsid w:val="006848AB"/>
    <w:rsid w:val="00685811"/>
    <w:rsid w:val="00690AC9"/>
    <w:rsid w:val="00694AF2"/>
    <w:rsid w:val="006A37B8"/>
    <w:rsid w:val="006B3296"/>
    <w:rsid w:val="006B34A2"/>
    <w:rsid w:val="006C0707"/>
    <w:rsid w:val="006C1E38"/>
    <w:rsid w:val="006F2F64"/>
    <w:rsid w:val="00701FFD"/>
    <w:rsid w:val="00712E4D"/>
    <w:rsid w:val="00715B22"/>
    <w:rsid w:val="00726E61"/>
    <w:rsid w:val="00740966"/>
    <w:rsid w:val="007436CF"/>
    <w:rsid w:val="00760C62"/>
    <w:rsid w:val="00763A72"/>
    <w:rsid w:val="00764D3F"/>
    <w:rsid w:val="00766487"/>
    <w:rsid w:val="00771A73"/>
    <w:rsid w:val="00783404"/>
    <w:rsid w:val="007851CC"/>
    <w:rsid w:val="00793594"/>
    <w:rsid w:val="00795760"/>
    <w:rsid w:val="0079656C"/>
    <w:rsid w:val="007A183E"/>
    <w:rsid w:val="007B3978"/>
    <w:rsid w:val="007C0583"/>
    <w:rsid w:val="007C6032"/>
    <w:rsid w:val="007D74FB"/>
    <w:rsid w:val="007E2E9A"/>
    <w:rsid w:val="007E7C36"/>
    <w:rsid w:val="007F0E5B"/>
    <w:rsid w:val="007F1785"/>
    <w:rsid w:val="007F2048"/>
    <w:rsid w:val="00805A04"/>
    <w:rsid w:val="008134B7"/>
    <w:rsid w:val="00820C61"/>
    <w:rsid w:val="00821A32"/>
    <w:rsid w:val="00821B5A"/>
    <w:rsid w:val="00827D4A"/>
    <w:rsid w:val="0083011D"/>
    <w:rsid w:val="00833BAC"/>
    <w:rsid w:val="00835BC5"/>
    <w:rsid w:val="00841461"/>
    <w:rsid w:val="00842148"/>
    <w:rsid w:val="008452FA"/>
    <w:rsid w:val="0086172C"/>
    <w:rsid w:val="00874326"/>
    <w:rsid w:val="00876220"/>
    <w:rsid w:val="00877A2D"/>
    <w:rsid w:val="00881105"/>
    <w:rsid w:val="00887591"/>
    <w:rsid w:val="00896CCA"/>
    <w:rsid w:val="008A04A4"/>
    <w:rsid w:val="008A073F"/>
    <w:rsid w:val="008A1340"/>
    <w:rsid w:val="008A21BD"/>
    <w:rsid w:val="008A307B"/>
    <w:rsid w:val="008B00F1"/>
    <w:rsid w:val="008B294F"/>
    <w:rsid w:val="008B421F"/>
    <w:rsid w:val="008B749E"/>
    <w:rsid w:val="008B79ED"/>
    <w:rsid w:val="008C0182"/>
    <w:rsid w:val="008C3BA1"/>
    <w:rsid w:val="008C6C71"/>
    <w:rsid w:val="008D13F4"/>
    <w:rsid w:val="008E4283"/>
    <w:rsid w:val="008F026A"/>
    <w:rsid w:val="008F4DA7"/>
    <w:rsid w:val="00902354"/>
    <w:rsid w:val="00903F5B"/>
    <w:rsid w:val="00907753"/>
    <w:rsid w:val="009107F7"/>
    <w:rsid w:val="00913450"/>
    <w:rsid w:val="00913B94"/>
    <w:rsid w:val="00921FCC"/>
    <w:rsid w:val="00926696"/>
    <w:rsid w:val="00954CC0"/>
    <w:rsid w:val="00957327"/>
    <w:rsid w:val="0096317E"/>
    <w:rsid w:val="00972259"/>
    <w:rsid w:val="009732A4"/>
    <w:rsid w:val="0098288F"/>
    <w:rsid w:val="00982978"/>
    <w:rsid w:val="009858AA"/>
    <w:rsid w:val="009918B1"/>
    <w:rsid w:val="009A4D45"/>
    <w:rsid w:val="009F074E"/>
    <w:rsid w:val="009F1E18"/>
    <w:rsid w:val="009F24B5"/>
    <w:rsid w:val="009F5903"/>
    <w:rsid w:val="009F6E02"/>
    <w:rsid w:val="00A03F26"/>
    <w:rsid w:val="00A11941"/>
    <w:rsid w:val="00A138B2"/>
    <w:rsid w:val="00A23180"/>
    <w:rsid w:val="00A40884"/>
    <w:rsid w:val="00A44DF7"/>
    <w:rsid w:val="00A44E22"/>
    <w:rsid w:val="00A52960"/>
    <w:rsid w:val="00A6399A"/>
    <w:rsid w:val="00A83597"/>
    <w:rsid w:val="00A84857"/>
    <w:rsid w:val="00A91540"/>
    <w:rsid w:val="00A91DF2"/>
    <w:rsid w:val="00A94161"/>
    <w:rsid w:val="00AB00C1"/>
    <w:rsid w:val="00AB0A0E"/>
    <w:rsid w:val="00AB1168"/>
    <w:rsid w:val="00AB12BF"/>
    <w:rsid w:val="00AB1EA9"/>
    <w:rsid w:val="00AC140A"/>
    <w:rsid w:val="00AC4ABD"/>
    <w:rsid w:val="00AD1ED5"/>
    <w:rsid w:val="00AD36E7"/>
    <w:rsid w:val="00AE13FC"/>
    <w:rsid w:val="00AE58BE"/>
    <w:rsid w:val="00AE7DCB"/>
    <w:rsid w:val="00AF09A6"/>
    <w:rsid w:val="00AF7CCF"/>
    <w:rsid w:val="00B00464"/>
    <w:rsid w:val="00B05FDB"/>
    <w:rsid w:val="00B06D26"/>
    <w:rsid w:val="00B12D46"/>
    <w:rsid w:val="00B148D6"/>
    <w:rsid w:val="00B1577E"/>
    <w:rsid w:val="00B4372A"/>
    <w:rsid w:val="00B51F81"/>
    <w:rsid w:val="00B5792A"/>
    <w:rsid w:val="00B579AD"/>
    <w:rsid w:val="00BA40B2"/>
    <w:rsid w:val="00BA7712"/>
    <w:rsid w:val="00BD221E"/>
    <w:rsid w:val="00BD4717"/>
    <w:rsid w:val="00BF3321"/>
    <w:rsid w:val="00BF465A"/>
    <w:rsid w:val="00BF4B07"/>
    <w:rsid w:val="00C00330"/>
    <w:rsid w:val="00C048A6"/>
    <w:rsid w:val="00C04AA7"/>
    <w:rsid w:val="00C06A2B"/>
    <w:rsid w:val="00C06E22"/>
    <w:rsid w:val="00C070A1"/>
    <w:rsid w:val="00C206BB"/>
    <w:rsid w:val="00C24722"/>
    <w:rsid w:val="00C3695E"/>
    <w:rsid w:val="00C522ED"/>
    <w:rsid w:val="00C55372"/>
    <w:rsid w:val="00C57020"/>
    <w:rsid w:val="00C66EAA"/>
    <w:rsid w:val="00C75031"/>
    <w:rsid w:val="00C76DC8"/>
    <w:rsid w:val="00C77B5E"/>
    <w:rsid w:val="00C844C0"/>
    <w:rsid w:val="00CA6D51"/>
    <w:rsid w:val="00CB0059"/>
    <w:rsid w:val="00CB1FED"/>
    <w:rsid w:val="00CC0B77"/>
    <w:rsid w:val="00CC23EF"/>
    <w:rsid w:val="00CD171B"/>
    <w:rsid w:val="00CF31E9"/>
    <w:rsid w:val="00D02F66"/>
    <w:rsid w:val="00D05D00"/>
    <w:rsid w:val="00D134A2"/>
    <w:rsid w:val="00D141EA"/>
    <w:rsid w:val="00D14E29"/>
    <w:rsid w:val="00D239B5"/>
    <w:rsid w:val="00D26136"/>
    <w:rsid w:val="00D30AC6"/>
    <w:rsid w:val="00D41F36"/>
    <w:rsid w:val="00D57378"/>
    <w:rsid w:val="00D61C82"/>
    <w:rsid w:val="00D647A0"/>
    <w:rsid w:val="00D71675"/>
    <w:rsid w:val="00D71E7D"/>
    <w:rsid w:val="00D71F6A"/>
    <w:rsid w:val="00D75D61"/>
    <w:rsid w:val="00D8572C"/>
    <w:rsid w:val="00D90E87"/>
    <w:rsid w:val="00DA188D"/>
    <w:rsid w:val="00DB2D57"/>
    <w:rsid w:val="00DB4B5C"/>
    <w:rsid w:val="00DB5C66"/>
    <w:rsid w:val="00DB7E3B"/>
    <w:rsid w:val="00DC38F9"/>
    <w:rsid w:val="00DD0D2A"/>
    <w:rsid w:val="00DD1E68"/>
    <w:rsid w:val="00DE729A"/>
    <w:rsid w:val="00E07AFB"/>
    <w:rsid w:val="00E10B90"/>
    <w:rsid w:val="00E1298E"/>
    <w:rsid w:val="00E131ED"/>
    <w:rsid w:val="00E32A76"/>
    <w:rsid w:val="00E3574B"/>
    <w:rsid w:val="00E56676"/>
    <w:rsid w:val="00E609D1"/>
    <w:rsid w:val="00E640B8"/>
    <w:rsid w:val="00E641A5"/>
    <w:rsid w:val="00E64A35"/>
    <w:rsid w:val="00E707A6"/>
    <w:rsid w:val="00E70C96"/>
    <w:rsid w:val="00E856C0"/>
    <w:rsid w:val="00E85E71"/>
    <w:rsid w:val="00EA444A"/>
    <w:rsid w:val="00EB379B"/>
    <w:rsid w:val="00EB723F"/>
    <w:rsid w:val="00ED070A"/>
    <w:rsid w:val="00ED24E5"/>
    <w:rsid w:val="00ED46D5"/>
    <w:rsid w:val="00EE033F"/>
    <w:rsid w:val="00EE5ABB"/>
    <w:rsid w:val="00EE67EB"/>
    <w:rsid w:val="00EF208C"/>
    <w:rsid w:val="00EF72CE"/>
    <w:rsid w:val="00F0124F"/>
    <w:rsid w:val="00F20118"/>
    <w:rsid w:val="00F2603A"/>
    <w:rsid w:val="00F2670A"/>
    <w:rsid w:val="00F459A1"/>
    <w:rsid w:val="00F47A3D"/>
    <w:rsid w:val="00F54F38"/>
    <w:rsid w:val="00F740BB"/>
    <w:rsid w:val="00F804BE"/>
    <w:rsid w:val="00F81132"/>
    <w:rsid w:val="00F81BFC"/>
    <w:rsid w:val="00FA43A2"/>
    <w:rsid w:val="00FA6058"/>
    <w:rsid w:val="00FC12E1"/>
    <w:rsid w:val="00FE49A4"/>
    <w:rsid w:val="00FE7D9E"/>
    <w:rsid w:val="00FF3AF7"/>
    <w:rsid w:val="00FF7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A04A4"/>
    <w:pPr>
      <w:widowControl w:val="0"/>
      <w:adjustRightInd w:val="0"/>
    </w:pPr>
    <w:rPr>
      <w:rFonts w:ascii="ＭＳ 明朝" w:eastAsia="ＭＳ 明朝" w:hAnsi="ＭＳ 明朝" w:cs="Times New Roman"/>
      <w:kern w:val="0"/>
      <w:szCs w:val="20"/>
    </w:rPr>
  </w:style>
  <w:style w:type="paragraph" w:styleId="1">
    <w:name w:val="heading 1"/>
    <w:next w:val="a"/>
    <w:link w:val="10"/>
    <w:qFormat/>
    <w:rsid w:val="008A04A4"/>
    <w:pPr>
      <w:widowControl w:val="0"/>
      <w:adjustRightInd w:val="0"/>
      <w:outlineLvl w:val="0"/>
    </w:pPr>
    <w:rPr>
      <w:rFonts w:ascii="ＭＳ 明朝" w:eastAsia="ＭＳ 明朝"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04A4"/>
    <w:rPr>
      <w:rFonts w:ascii="ＭＳ 明朝" w:eastAsia="ＭＳ 明朝" w:hAnsi="Arial" w:cs="Times New Roman"/>
      <w:kern w:val="0"/>
      <w:szCs w:val="24"/>
    </w:rPr>
  </w:style>
  <w:style w:type="paragraph" w:customStyle="1" w:styleId="a3">
    <w:name w:val="第○条"/>
    <w:rsid w:val="008A04A4"/>
    <w:pPr>
      <w:widowControl w:val="0"/>
      <w:ind w:left="241" w:hangingChars="100" w:hanging="241"/>
    </w:pPr>
    <w:rPr>
      <w:rFonts w:ascii="ＭＳ 明朝" w:eastAsia="ＭＳ 明朝" w:hAnsi="ＭＳ ゴシック" w:cs="Courier New"/>
      <w:kern w:val="0"/>
      <w:szCs w:val="20"/>
    </w:rPr>
  </w:style>
  <w:style w:type="paragraph" w:customStyle="1" w:styleId="2ind1">
    <w:name w:val="2ind・1下げ"/>
    <w:autoRedefine/>
    <w:rsid w:val="008A04A4"/>
    <w:pPr>
      <w:widowControl w:val="0"/>
      <w:ind w:leftChars="-100" w:left="-241" w:firstLineChars="200" w:firstLine="482"/>
    </w:pPr>
    <w:rPr>
      <w:rFonts w:ascii="ＭＳ 明朝" w:eastAsia="ＭＳ 明朝" w:hAnsi="ＭＳ 明朝" w:cs="Times New Roman"/>
      <w:kern w:val="0"/>
      <w:szCs w:val="20"/>
    </w:rPr>
  </w:style>
  <w:style w:type="paragraph" w:customStyle="1" w:styleId="a4">
    <w:name w:val="タイトル"/>
    <w:rsid w:val="008A04A4"/>
    <w:pPr>
      <w:jc w:val="center"/>
    </w:pPr>
    <w:rPr>
      <w:rFonts w:ascii="ＭＳ ゴシック" w:eastAsia="ＭＳ ゴシック" w:hAnsi="Century" w:cs="Times New Roman"/>
      <w:w w:val="200"/>
      <w:kern w:val="0"/>
      <w:sz w:val="24"/>
      <w:szCs w:val="20"/>
    </w:rPr>
  </w:style>
  <w:style w:type="character" w:styleId="a5">
    <w:name w:val="page number"/>
    <w:basedOn w:val="a0"/>
    <w:rsid w:val="008A04A4"/>
  </w:style>
  <w:style w:type="paragraph" w:customStyle="1" w:styleId="11">
    <w:name w:val="スタイル1"/>
    <w:rsid w:val="008A04A4"/>
    <w:rPr>
      <w:rFonts w:ascii="ＭＳ 明朝" w:eastAsia="ＭＳ 明朝" w:hAnsi="ＭＳ 明朝" w:cs="Times New Roman"/>
      <w:kern w:val="0"/>
      <w:szCs w:val="20"/>
    </w:rPr>
  </w:style>
  <w:style w:type="paragraph" w:customStyle="1" w:styleId="a6">
    <w:name w:val="第○章"/>
    <w:rsid w:val="008A04A4"/>
    <w:pPr>
      <w:widowControl w:val="0"/>
      <w:adjustRightInd w:val="0"/>
    </w:pPr>
    <w:rPr>
      <w:rFonts w:ascii="ＭＳ 明朝" w:eastAsia="ＭＳ 明朝" w:hAnsi="Century" w:cs="Times New Roman"/>
      <w:kern w:val="0"/>
      <w:szCs w:val="20"/>
    </w:rPr>
  </w:style>
  <w:style w:type="paragraph" w:customStyle="1" w:styleId="2ind2">
    <w:name w:val="2ind・2ぶら下げ"/>
    <w:rsid w:val="008A04A4"/>
    <w:pPr>
      <w:ind w:leftChars="200" w:left="400" w:hangingChars="200" w:hanging="200"/>
    </w:pPr>
    <w:rPr>
      <w:rFonts w:ascii="Century" w:eastAsia="ＭＳ 明朝" w:hAnsi="Century" w:cs="Times New Roman"/>
      <w:kern w:val="0"/>
      <w:szCs w:val="20"/>
    </w:rPr>
  </w:style>
  <w:style w:type="paragraph" w:styleId="a7">
    <w:name w:val="footer"/>
    <w:basedOn w:val="a"/>
    <w:link w:val="a8"/>
    <w:rsid w:val="008A04A4"/>
    <w:pPr>
      <w:tabs>
        <w:tab w:val="center" w:pos="4252"/>
        <w:tab w:val="right" w:pos="8504"/>
      </w:tabs>
      <w:snapToGrid w:val="0"/>
    </w:pPr>
  </w:style>
  <w:style w:type="character" w:customStyle="1" w:styleId="a8">
    <w:name w:val="フッター (文字)"/>
    <w:basedOn w:val="a0"/>
    <w:link w:val="a7"/>
    <w:rsid w:val="008A04A4"/>
    <w:rPr>
      <w:rFonts w:ascii="ＭＳ 明朝" w:eastAsia="ＭＳ 明朝" w:hAnsi="ＭＳ 明朝" w:cs="Times New Roman"/>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8A04A4"/>
    <w:pPr>
      <w:widowControl w:val="0"/>
      <w:adjustRightInd w:val="0"/>
    </w:pPr>
    <w:rPr>
      <w:rFonts w:ascii="ＭＳ 明朝" w:eastAsia="ＭＳ 明朝" w:hAnsi="ＭＳ 明朝" w:cs="Times New Roman"/>
      <w:kern w:val="0"/>
      <w:szCs w:val="20"/>
    </w:rPr>
  </w:style>
  <w:style w:type="paragraph" w:styleId="1">
    <w:name w:val="heading 1"/>
    <w:next w:val="a"/>
    <w:link w:val="10"/>
    <w:qFormat/>
    <w:rsid w:val="008A04A4"/>
    <w:pPr>
      <w:widowControl w:val="0"/>
      <w:adjustRightInd w:val="0"/>
      <w:outlineLvl w:val="0"/>
    </w:pPr>
    <w:rPr>
      <w:rFonts w:ascii="ＭＳ 明朝" w:eastAsia="ＭＳ 明朝"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04A4"/>
    <w:rPr>
      <w:rFonts w:ascii="ＭＳ 明朝" w:eastAsia="ＭＳ 明朝" w:hAnsi="Arial" w:cs="Times New Roman"/>
      <w:kern w:val="0"/>
      <w:szCs w:val="24"/>
    </w:rPr>
  </w:style>
  <w:style w:type="paragraph" w:customStyle="1" w:styleId="a3">
    <w:name w:val="第○条"/>
    <w:rsid w:val="008A04A4"/>
    <w:pPr>
      <w:widowControl w:val="0"/>
      <w:ind w:left="241" w:hangingChars="100" w:hanging="241"/>
    </w:pPr>
    <w:rPr>
      <w:rFonts w:ascii="ＭＳ 明朝" w:eastAsia="ＭＳ 明朝" w:hAnsi="ＭＳ ゴシック" w:cs="Courier New"/>
      <w:kern w:val="0"/>
      <w:szCs w:val="20"/>
    </w:rPr>
  </w:style>
  <w:style w:type="paragraph" w:customStyle="1" w:styleId="2ind1">
    <w:name w:val="2ind・1下げ"/>
    <w:autoRedefine/>
    <w:rsid w:val="008A04A4"/>
    <w:pPr>
      <w:widowControl w:val="0"/>
      <w:ind w:leftChars="-100" w:left="-241" w:firstLineChars="200" w:firstLine="482"/>
    </w:pPr>
    <w:rPr>
      <w:rFonts w:ascii="ＭＳ 明朝" w:eastAsia="ＭＳ 明朝" w:hAnsi="ＭＳ 明朝" w:cs="Times New Roman"/>
      <w:kern w:val="0"/>
      <w:szCs w:val="20"/>
    </w:rPr>
  </w:style>
  <w:style w:type="paragraph" w:customStyle="1" w:styleId="a4">
    <w:name w:val="タイトル"/>
    <w:rsid w:val="008A04A4"/>
    <w:pPr>
      <w:jc w:val="center"/>
    </w:pPr>
    <w:rPr>
      <w:rFonts w:ascii="ＭＳ ゴシック" w:eastAsia="ＭＳ ゴシック" w:hAnsi="Century" w:cs="Times New Roman"/>
      <w:w w:val="200"/>
      <w:kern w:val="0"/>
      <w:sz w:val="24"/>
      <w:szCs w:val="20"/>
    </w:rPr>
  </w:style>
  <w:style w:type="character" w:styleId="a5">
    <w:name w:val="page number"/>
    <w:basedOn w:val="a0"/>
    <w:rsid w:val="008A04A4"/>
  </w:style>
  <w:style w:type="paragraph" w:customStyle="1" w:styleId="11">
    <w:name w:val="スタイル1"/>
    <w:rsid w:val="008A04A4"/>
    <w:rPr>
      <w:rFonts w:ascii="ＭＳ 明朝" w:eastAsia="ＭＳ 明朝" w:hAnsi="ＭＳ 明朝" w:cs="Times New Roman"/>
      <w:kern w:val="0"/>
      <w:szCs w:val="20"/>
    </w:rPr>
  </w:style>
  <w:style w:type="paragraph" w:customStyle="1" w:styleId="a6">
    <w:name w:val="第○章"/>
    <w:rsid w:val="008A04A4"/>
    <w:pPr>
      <w:widowControl w:val="0"/>
      <w:adjustRightInd w:val="0"/>
    </w:pPr>
    <w:rPr>
      <w:rFonts w:ascii="ＭＳ 明朝" w:eastAsia="ＭＳ 明朝" w:hAnsi="Century" w:cs="Times New Roman"/>
      <w:kern w:val="0"/>
      <w:szCs w:val="20"/>
    </w:rPr>
  </w:style>
  <w:style w:type="paragraph" w:customStyle="1" w:styleId="2ind2">
    <w:name w:val="2ind・2ぶら下げ"/>
    <w:rsid w:val="008A04A4"/>
    <w:pPr>
      <w:ind w:leftChars="200" w:left="400" w:hangingChars="200" w:hanging="200"/>
    </w:pPr>
    <w:rPr>
      <w:rFonts w:ascii="Century" w:eastAsia="ＭＳ 明朝" w:hAnsi="Century" w:cs="Times New Roman"/>
      <w:kern w:val="0"/>
      <w:szCs w:val="20"/>
    </w:rPr>
  </w:style>
  <w:style w:type="paragraph" w:styleId="a7">
    <w:name w:val="footer"/>
    <w:basedOn w:val="a"/>
    <w:link w:val="a8"/>
    <w:rsid w:val="008A04A4"/>
    <w:pPr>
      <w:tabs>
        <w:tab w:val="center" w:pos="4252"/>
        <w:tab w:val="right" w:pos="8504"/>
      </w:tabs>
      <w:snapToGrid w:val="0"/>
    </w:pPr>
  </w:style>
  <w:style w:type="character" w:customStyle="1" w:styleId="a8">
    <w:name w:val="フッター (文字)"/>
    <w:basedOn w:val="a0"/>
    <w:link w:val="a7"/>
    <w:rsid w:val="008A04A4"/>
    <w:rPr>
      <w:rFonts w:ascii="ＭＳ 明朝" w:eastAsia="ＭＳ 明朝" w:hAnsi="ＭＳ 明朝"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411</Words>
  <Characters>2344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愛知県</cp:lastModifiedBy>
  <cp:revision>1</cp:revision>
  <dcterms:created xsi:type="dcterms:W3CDTF">2016-08-24T03:55:00Z</dcterms:created>
  <dcterms:modified xsi:type="dcterms:W3CDTF">2016-08-24T04:00:00Z</dcterms:modified>
</cp:coreProperties>
</file>