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954" w:rsidRPr="005C7C7C" w:rsidRDefault="00825954" w:rsidP="00825954">
      <w:pPr>
        <w:ind w:left="485" w:hanging="243"/>
        <w:rPr>
          <w:rFonts w:hint="default"/>
        </w:rPr>
      </w:pPr>
      <w:r w:rsidRPr="005C7C7C">
        <w:t>六　２つ以上の障害が重複する場合の取扱い</w:t>
      </w:r>
    </w:p>
    <w:p w:rsidR="00825954" w:rsidRPr="005C7C7C" w:rsidRDefault="00825954" w:rsidP="00825954">
      <w:pPr>
        <w:ind w:left="728"/>
        <w:rPr>
          <w:rFonts w:hint="default"/>
        </w:rPr>
      </w:pPr>
      <w:r w:rsidRPr="005C7C7C">
        <w:t>２つ以上の障害が重複する場合の障害等級は、次により認定する。</w:t>
      </w:r>
    </w:p>
    <w:p w:rsidR="00825954" w:rsidRPr="005C7C7C" w:rsidRDefault="00825954" w:rsidP="00825954">
      <w:pPr>
        <w:ind w:left="607" w:hanging="121"/>
        <w:rPr>
          <w:rFonts w:hint="default"/>
        </w:rPr>
      </w:pPr>
      <w:r w:rsidRPr="005C7C7C">
        <w:t>１　障害等級の認定方法</w:t>
      </w:r>
    </w:p>
    <w:p w:rsidR="00825954" w:rsidRPr="005C7C7C" w:rsidRDefault="00825954" w:rsidP="00825954">
      <w:pPr>
        <w:tabs>
          <w:tab w:val="left" w:pos="960"/>
        </w:tabs>
        <w:ind w:left="1214" w:hanging="729"/>
        <w:rPr>
          <w:rFonts w:hint="default"/>
        </w:rPr>
      </w:pPr>
      <w:r w:rsidRPr="005C7C7C">
        <w:t>（１）</w:t>
      </w:r>
      <w:r w:rsidRPr="005C7C7C">
        <w:tab/>
      </w:r>
      <w:r>
        <w:t xml:space="preserve">　</w:t>
      </w:r>
      <w:r w:rsidRPr="005C7C7C">
        <w:t>２つ以上の障害が重複する場合の障害等級は、重複する障害の合計指数に応じて、次により認定する。</w:t>
      </w:r>
    </w:p>
    <w:p w:rsidR="00825954" w:rsidRPr="005C7C7C" w:rsidRDefault="00825954" w:rsidP="00825954">
      <w:pPr>
        <w:tabs>
          <w:tab w:val="left" w:pos="960"/>
        </w:tabs>
        <w:ind w:left="1214" w:hanging="729"/>
        <w:rPr>
          <w:rFonts w:hint="default"/>
        </w:rPr>
      </w:pPr>
    </w:p>
    <w:tbl>
      <w:tblPr>
        <w:tblW w:w="0" w:type="auto"/>
        <w:tblInd w:w="2342" w:type="dxa"/>
        <w:tblLayout w:type="fixed"/>
        <w:tblCellMar>
          <w:left w:w="0" w:type="dxa"/>
          <w:right w:w="0" w:type="dxa"/>
        </w:tblCellMar>
        <w:tblLook w:val="0000" w:firstRow="0" w:lastRow="0" w:firstColumn="0" w:lastColumn="0" w:noHBand="0" w:noVBand="0"/>
      </w:tblPr>
      <w:tblGrid>
        <w:gridCol w:w="2160"/>
        <w:gridCol w:w="2400"/>
      </w:tblGrid>
      <w:tr w:rsidR="00825954" w:rsidRPr="005C7C7C" w:rsidTr="00825954">
        <w:trPr>
          <w:trHeight w:val="717"/>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954" w:rsidRPr="005C7C7C" w:rsidRDefault="00825954" w:rsidP="00825954">
            <w:pPr>
              <w:jc w:val="center"/>
              <w:rPr>
                <w:rFonts w:hint="default"/>
              </w:rPr>
            </w:pPr>
            <w:r w:rsidRPr="005C7C7C">
              <w:t>合</w:t>
            </w:r>
            <w:r w:rsidRPr="005C7C7C">
              <w:rPr>
                <w:spacing w:val="-1"/>
              </w:rPr>
              <w:t xml:space="preserve">  </w:t>
            </w:r>
            <w:r w:rsidRPr="005C7C7C">
              <w:t>計</w:t>
            </w:r>
            <w:r w:rsidRPr="005C7C7C">
              <w:rPr>
                <w:spacing w:val="-1"/>
              </w:rPr>
              <w:t xml:space="preserve">  </w:t>
            </w:r>
            <w:r w:rsidRPr="005C7C7C">
              <w:t>指</w:t>
            </w:r>
            <w:r w:rsidRPr="005C7C7C">
              <w:rPr>
                <w:spacing w:val="-1"/>
              </w:rPr>
              <w:t xml:space="preserve">  </w:t>
            </w:r>
            <w:r w:rsidRPr="005C7C7C">
              <w:t>数</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954" w:rsidRPr="005C7C7C" w:rsidRDefault="00825954" w:rsidP="00825954">
            <w:pPr>
              <w:jc w:val="center"/>
              <w:rPr>
                <w:rFonts w:hint="default"/>
              </w:rPr>
            </w:pPr>
            <w:r w:rsidRPr="005C7C7C">
              <w:t>認</w:t>
            </w:r>
            <w:r w:rsidRPr="005C7C7C">
              <w:rPr>
                <w:spacing w:val="-1"/>
              </w:rPr>
              <w:t xml:space="preserve">  </w:t>
            </w:r>
            <w:r w:rsidRPr="005C7C7C">
              <w:t>定</w:t>
            </w:r>
            <w:r w:rsidRPr="005C7C7C">
              <w:rPr>
                <w:spacing w:val="-1"/>
              </w:rPr>
              <w:t xml:space="preserve">  </w:t>
            </w:r>
            <w:r w:rsidRPr="005C7C7C">
              <w:t>等</w:t>
            </w:r>
            <w:r w:rsidRPr="005C7C7C">
              <w:rPr>
                <w:spacing w:val="-1"/>
              </w:rPr>
              <w:t xml:space="preserve">  </w:t>
            </w:r>
            <w:r w:rsidRPr="005C7C7C">
              <w:t>級</w:t>
            </w:r>
          </w:p>
        </w:tc>
      </w:tr>
      <w:tr w:rsidR="00825954" w:rsidRPr="005C7C7C" w:rsidTr="00825954">
        <w:trPr>
          <w:trHeight w:val="3399"/>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954" w:rsidRPr="005C7C7C" w:rsidRDefault="00825954" w:rsidP="00825954">
            <w:pPr>
              <w:jc w:val="center"/>
              <w:rPr>
                <w:rFonts w:hint="default"/>
              </w:rPr>
            </w:pPr>
            <w:r w:rsidRPr="005C7C7C">
              <w:t>18</w:t>
            </w:r>
            <w:r w:rsidRPr="005C7C7C">
              <w:rPr>
                <w:spacing w:val="-1"/>
              </w:rPr>
              <w:t xml:space="preserve">    </w:t>
            </w:r>
            <w:r w:rsidRPr="005C7C7C">
              <w:t>以</w:t>
            </w:r>
            <w:r w:rsidRPr="005C7C7C">
              <w:rPr>
                <w:spacing w:val="-1"/>
              </w:rPr>
              <w:t xml:space="preserve">    </w:t>
            </w:r>
            <w:r w:rsidRPr="005C7C7C">
              <w:t>上</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11</w:t>
            </w:r>
            <w:r w:rsidRPr="005C7C7C">
              <w:rPr>
                <w:spacing w:val="-1"/>
              </w:rPr>
              <w:t xml:space="preserve"> </w:t>
            </w:r>
            <w:r w:rsidRPr="005C7C7C">
              <w:t xml:space="preserve">　</w:t>
            </w:r>
            <w:r w:rsidRPr="005C7C7C">
              <w:rPr>
                <w:spacing w:val="-1"/>
              </w:rPr>
              <w:t xml:space="preserve"> </w:t>
            </w:r>
            <w:r w:rsidRPr="005C7C7C">
              <w:t>～</w:t>
            </w:r>
            <w:r w:rsidRPr="005C7C7C">
              <w:rPr>
                <w:spacing w:val="-1"/>
              </w:rPr>
              <w:t xml:space="preserve">    </w:t>
            </w:r>
            <w:r w:rsidRPr="005C7C7C">
              <w:t>17</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7</w:t>
            </w:r>
            <w:r w:rsidRPr="005C7C7C">
              <w:rPr>
                <w:spacing w:val="-1"/>
              </w:rPr>
              <w:t xml:space="preserve">    </w:t>
            </w:r>
            <w:r w:rsidRPr="005C7C7C">
              <w:t>～</w:t>
            </w:r>
            <w:r w:rsidRPr="005C7C7C">
              <w:rPr>
                <w:spacing w:val="-1"/>
              </w:rPr>
              <w:t xml:space="preserve">    </w:t>
            </w:r>
            <w:r w:rsidRPr="005C7C7C">
              <w:t>10</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4</w:t>
            </w:r>
            <w:r w:rsidRPr="005C7C7C">
              <w:rPr>
                <w:spacing w:val="-1"/>
              </w:rPr>
              <w:t xml:space="preserve">    </w:t>
            </w:r>
            <w:r w:rsidRPr="005C7C7C">
              <w:t>～</w:t>
            </w:r>
            <w:r w:rsidRPr="005C7C7C">
              <w:rPr>
                <w:spacing w:val="-1"/>
              </w:rPr>
              <w:t xml:space="preserve">     </w:t>
            </w:r>
            <w:r w:rsidRPr="005C7C7C">
              <w:t>6</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2</w:t>
            </w:r>
            <w:r w:rsidRPr="005C7C7C">
              <w:rPr>
                <w:spacing w:val="-1"/>
              </w:rPr>
              <w:t xml:space="preserve">    </w:t>
            </w:r>
            <w:r w:rsidRPr="005C7C7C">
              <w:t>～</w:t>
            </w:r>
            <w:r w:rsidRPr="005C7C7C">
              <w:rPr>
                <w:spacing w:val="-1"/>
              </w:rPr>
              <w:t xml:space="preserve">     </w:t>
            </w:r>
            <w:r w:rsidRPr="005C7C7C">
              <w:t>3</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1</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954" w:rsidRPr="005C7C7C" w:rsidRDefault="00825954" w:rsidP="00825954">
            <w:pPr>
              <w:jc w:val="center"/>
              <w:rPr>
                <w:rFonts w:hint="default"/>
              </w:rPr>
            </w:pPr>
            <w:r w:rsidRPr="005C7C7C">
              <w:t>1</w:t>
            </w:r>
            <w:r w:rsidRPr="005C7C7C">
              <w:rPr>
                <w:spacing w:val="-1"/>
              </w:rPr>
              <w:t xml:space="preserve">           </w:t>
            </w:r>
            <w:r w:rsidRPr="005C7C7C">
              <w:t>級</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2</w:t>
            </w:r>
            <w:r w:rsidRPr="005C7C7C">
              <w:rPr>
                <w:spacing w:val="-1"/>
              </w:rPr>
              <w:t xml:space="preserve">           </w:t>
            </w:r>
            <w:r w:rsidRPr="005C7C7C">
              <w:t>〃</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3</w:t>
            </w:r>
            <w:r w:rsidRPr="005C7C7C">
              <w:rPr>
                <w:spacing w:val="-1"/>
              </w:rPr>
              <w:t xml:space="preserve">           </w:t>
            </w:r>
            <w:r w:rsidRPr="005C7C7C">
              <w:t>〃</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4</w:t>
            </w:r>
            <w:r w:rsidRPr="005C7C7C">
              <w:rPr>
                <w:spacing w:val="-1"/>
              </w:rPr>
              <w:t xml:space="preserve">           </w:t>
            </w:r>
            <w:r w:rsidRPr="005C7C7C">
              <w:t>〃</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5</w:t>
            </w:r>
            <w:r w:rsidRPr="005C7C7C">
              <w:rPr>
                <w:spacing w:val="-1"/>
              </w:rPr>
              <w:t xml:space="preserve">           </w:t>
            </w:r>
            <w:r w:rsidRPr="005C7C7C">
              <w:t>〃</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6</w:t>
            </w:r>
            <w:r w:rsidRPr="005C7C7C">
              <w:rPr>
                <w:spacing w:val="-1"/>
              </w:rPr>
              <w:t xml:space="preserve">           </w:t>
            </w:r>
            <w:r w:rsidRPr="005C7C7C">
              <w:t>〃</w:t>
            </w:r>
          </w:p>
        </w:tc>
      </w:tr>
    </w:tbl>
    <w:p w:rsidR="00825954" w:rsidRPr="005C7C7C" w:rsidRDefault="00825954" w:rsidP="00825954">
      <w:pPr>
        <w:ind w:left="728" w:hanging="243"/>
        <w:rPr>
          <w:rFonts w:hint="default"/>
        </w:rPr>
      </w:pPr>
      <w:r w:rsidRPr="005C7C7C">
        <w:t>（２）　合計指数の算定方法</w:t>
      </w:r>
    </w:p>
    <w:p w:rsidR="00825954" w:rsidRPr="005C7C7C" w:rsidRDefault="00825954" w:rsidP="00825954">
      <w:pPr>
        <w:ind w:left="1456" w:hanging="243"/>
        <w:rPr>
          <w:rFonts w:hint="default"/>
        </w:rPr>
      </w:pPr>
      <w:r w:rsidRPr="005C7C7C">
        <w:t>ア　合計指数は、次の等級別指数表により各々の障害の該当する等級の指数を合計したものとする。</w:t>
      </w:r>
    </w:p>
    <w:tbl>
      <w:tblPr>
        <w:tblW w:w="0" w:type="auto"/>
        <w:tblInd w:w="2342" w:type="dxa"/>
        <w:tblLayout w:type="fixed"/>
        <w:tblCellMar>
          <w:left w:w="0" w:type="dxa"/>
          <w:right w:w="0" w:type="dxa"/>
        </w:tblCellMar>
        <w:tblLook w:val="0000" w:firstRow="0" w:lastRow="0" w:firstColumn="0" w:lastColumn="0" w:noHBand="0" w:noVBand="0"/>
      </w:tblPr>
      <w:tblGrid>
        <w:gridCol w:w="2160"/>
        <w:gridCol w:w="2400"/>
      </w:tblGrid>
      <w:tr w:rsidR="00825954" w:rsidRPr="005C7C7C" w:rsidTr="00825954">
        <w:trPr>
          <w:trHeight w:val="696"/>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954" w:rsidRPr="005C7C7C" w:rsidRDefault="00825954" w:rsidP="00825954">
            <w:pPr>
              <w:jc w:val="center"/>
              <w:rPr>
                <w:rFonts w:hint="default"/>
              </w:rPr>
            </w:pPr>
            <w:r w:rsidRPr="005C7C7C">
              <w:t>障</w:t>
            </w:r>
            <w:r w:rsidRPr="005C7C7C">
              <w:rPr>
                <w:spacing w:val="-1"/>
              </w:rPr>
              <w:t xml:space="preserve">  </w:t>
            </w:r>
            <w:r w:rsidRPr="005C7C7C">
              <w:t>害</w:t>
            </w:r>
            <w:r w:rsidRPr="005C7C7C">
              <w:rPr>
                <w:spacing w:val="-1"/>
              </w:rPr>
              <w:t xml:space="preserve">  </w:t>
            </w:r>
            <w:r w:rsidRPr="005C7C7C">
              <w:t>等</w:t>
            </w:r>
            <w:r w:rsidRPr="005C7C7C">
              <w:rPr>
                <w:spacing w:val="-1"/>
              </w:rPr>
              <w:t xml:space="preserve">  </w:t>
            </w:r>
            <w:r w:rsidRPr="005C7C7C">
              <w:t>級</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954" w:rsidRPr="005C7C7C" w:rsidRDefault="00825954" w:rsidP="00825954">
            <w:pPr>
              <w:jc w:val="center"/>
              <w:rPr>
                <w:rFonts w:hint="default"/>
              </w:rPr>
            </w:pPr>
            <w:r w:rsidRPr="005C7C7C">
              <w:t>指　　　　　数</w:t>
            </w:r>
          </w:p>
        </w:tc>
      </w:tr>
      <w:tr w:rsidR="00825954" w:rsidRPr="005C7C7C" w:rsidTr="00825954">
        <w:trPr>
          <w:trHeight w:val="3777"/>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954" w:rsidRPr="005C7C7C" w:rsidRDefault="00825954" w:rsidP="00825954">
            <w:pPr>
              <w:jc w:val="center"/>
              <w:rPr>
                <w:rFonts w:hint="default"/>
              </w:rPr>
            </w:pPr>
            <w:r w:rsidRPr="005C7C7C">
              <w:t>1</w:t>
            </w:r>
            <w:r w:rsidRPr="005C7C7C">
              <w:rPr>
                <w:spacing w:val="-1"/>
              </w:rPr>
              <w:t xml:space="preserve">           </w:t>
            </w:r>
            <w:r w:rsidRPr="005C7C7C">
              <w:t>級</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2</w:t>
            </w:r>
            <w:r w:rsidRPr="005C7C7C">
              <w:rPr>
                <w:spacing w:val="-1"/>
              </w:rPr>
              <w:t xml:space="preserve">           </w:t>
            </w:r>
            <w:r w:rsidRPr="005C7C7C">
              <w:t>〃</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3</w:t>
            </w:r>
            <w:r w:rsidRPr="005C7C7C">
              <w:rPr>
                <w:spacing w:val="-1"/>
              </w:rPr>
              <w:t xml:space="preserve">           </w:t>
            </w:r>
            <w:r w:rsidRPr="005C7C7C">
              <w:t>〃</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4</w:t>
            </w:r>
            <w:r w:rsidRPr="005C7C7C">
              <w:rPr>
                <w:spacing w:val="-1"/>
              </w:rPr>
              <w:t xml:space="preserve">           </w:t>
            </w:r>
            <w:r w:rsidRPr="005C7C7C">
              <w:t>〃</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5</w:t>
            </w:r>
            <w:r w:rsidRPr="005C7C7C">
              <w:rPr>
                <w:spacing w:val="-1"/>
              </w:rPr>
              <w:t xml:space="preserve">           </w:t>
            </w:r>
            <w:r w:rsidRPr="005C7C7C">
              <w:t>〃</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6</w:t>
            </w:r>
            <w:r w:rsidRPr="005C7C7C">
              <w:rPr>
                <w:spacing w:val="-1"/>
              </w:rPr>
              <w:t xml:space="preserve">           </w:t>
            </w:r>
            <w:r w:rsidRPr="005C7C7C">
              <w:t>〃</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7</w:t>
            </w:r>
            <w:r w:rsidRPr="005C7C7C">
              <w:rPr>
                <w:spacing w:val="-1"/>
              </w:rPr>
              <w:t xml:space="preserve">           </w:t>
            </w:r>
            <w:r w:rsidRPr="005C7C7C">
              <w:t>〃</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25954" w:rsidRPr="005C7C7C" w:rsidRDefault="00825954" w:rsidP="00825954">
            <w:pPr>
              <w:jc w:val="center"/>
              <w:rPr>
                <w:rFonts w:hint="default"/>
              </w:rPr>
            </w:pPr>
            <w:r w:rsidRPr="005C7C7C">
              <w:t>18</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11</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7</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4</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2</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1</w:t>
            </w:r>
          </w:p>
          <w:p w:rsidR="00825954" w:rsidRPr="005C7C7C" w:rsidRDefault="00825954" w:rsidP="00825954">
            <w:pPr>
              <w:spacing w:line="103" w:lineRule="exact"/>
              <w:jc w:val="center"/>
              <w:rPr>
                <w:rFonts w:hint="default"/>
              </w:rPr>
            </w:pPr>
          </w:p>
          <w:p w:rsidR="00825954" w:rsidRPr="005C7C7C" w:rsidRDefault="00825954" w:rsidP="00825954">
            <w:pPr>
              <w:jc w:val="center"/>
              <w:rPr>
                <w:rFonts w:hint="default"/>
              </w:rPr>
            </w:pPr>
            <w:r w:rsidRPr="005C7C7C">
              <w:t>0.5</w:t>
            </w:r>
          </w:p>
        </w:tc>
      </w:tr>
    </w:tbl>
    <w:p w:rsidR="00825954" w:rsidRPr="005C7C7C" w:rsidRDefault="00825954" w:rsidP="00825954">
      <w:pPr>
        <w:ind w:left="1456" w:hanging="243"/>
        <w:rPr>
          <w:rFonts w:hint="default"/>
        </w:rPr>
      </w:pPr>
      <w:r w:rsidRPr="005C7C7C">
        <w:t>イ　合計指数算定の特例</w:t>
      </w:r>
    </w:p>
    <w:p w:rsidR="00825954" w:rsidRPr="005C7C7C" w:rsidRDefault="00825954" w:rsidP="00825954">
      <w:pPr>
        <w:ind w:left="1456" w:firstLine="243"/>
        <w:rPr>
          <w:rFonts w:hint="default"/>
        </w:rPr>
      </w:pPr>
      <w:r w:rsidRPr="005C7C7C">
        <w:t>同一の上肢又は下肢に重複して障害がある場合の当該一上肢又は一下肢に係る合計指数は、機能障害のある部位（機能障害が２</w:t>
      </w:r>
      <w:r w:rsidRPr="005C7C7C">
        <w:lastRenderedPageBreak/>
        <w:t>か所以上あるときは上位の部位とする。）から上肢又は下肢を欠いた場合の障害等級に対応する指数の値を限度とする。</w:t>
      </w:r>
    </w:p>
    <w:p w:rsidR="00825954" w:rsidRPr="005C7C7C" w:rsidRDefault="00825954" w:rsidP="00825954">
      <w:pPr>
        <w:ind w:left="1578" w:hanging="121"/>
        <w:rPr>
          <w:rFonts w:hint="default"/>
        </w:rPr>
      </w:pPr>
      <w:bookmarkStart w:id="0" w:name="_GoBack"/>
      <w:bookmarkEnd w:id="0"/>
      <w:r w:rsidRPr="005C7C7C">
        <w:t>（例１）</w:t>
      </w:r>
    </w:p>
    <w:p w:rsidR="00825954" w:rsidRPr="005C7C7C" w:rsidRDefault="00825954" w:rsidP="00825954">
      <w:pPr>
        <w:ind w:left="1578" w:firstLine="364"/>
        <w:rPr>
          <w:rFonts w:hint="default"/>
        </w:rPr>
      </w:pPr>
      <w:r w:rsidRPr="005C7C7C">
        <w:t xml:space="preserve">右上肢のすべての指を欠くもの　３級　等級別指数　</w:t>
      </w:r>
      <w:r w:rsidRPr="005C7C7C">
        <w:rPr>
          <w:spacing w:val="-1"/>
        </w:rPr>
        <w:t xml:space="preserve"> </w:t>
      </w:r>
      <w:r w:rsidRPr="005C7C7C">
        <w:t>７</w:t>
      </w:r>
    </w:p>
    <w:p w:rsidR="00825954" w:rsidRPr="005C7C7C" w:rsidRDefault="00825954" w:rsidP="00825954">
      <w:pPr>
        <w:ind w:left="1820" w:firstLine="607"/>
        <w:rPr>
          <w:rFonts w:hint="default"/>
        </w:rPr>
      </w:pPr>
      <w:r w:rsidRPr="005C7C7C">
        <w:t xml:space="preserve">〃　手関節の全廃　　　　　４級　　　〃　　　</w:t>
      </w:r>
      <w:r w:rsidRPr="005C7C7C">
        <w:rPr>
          <w:spacing w:val="-1"/>
        </w:rPr>
        <w:t xml:space="preserve"> </w:t>
      </w:r>
      <w:r w:rsidRPr="005C7C7C">
        <w:t>４</w:t>
      </w:r>
    </w:p>
    <w:p w:rsidR="00825954" w:rsidRPr="005C7C7C" w:rsidRDefault="00825954" w:rsidP="00825954">
      <w:pPr>
        <w:ind w:left="2306" w:firstLine="243"/>
        <w:rPr>
          <w:rFonts w:hint="default"/>
        </w:rPr>
      </w:pPr>
      <w:r w:rsidRPr="005C7C7C">
        <w:t xml:space="preserve">　</w:t>
      </w:r>
      <w:r w:rsidRPr="005C7C7C">
        <w:rPr>
          <w:spacing w:val="-1"/>
        </w:rPr>
        <w:t xml:space="preserve"> </w:t>
      </w:r>
      <w:r w:rsidRPr="005C7C7C">
        <w:t xml:space="preserve">　　　　　　　　　　　　　　合　　　計</w:t>
      </w:r>
      <w:r w:rsidRPr="005C7C7C">
        <w:rPr>
          <w:spacing w:val="-1"/>
        </w:rPr>
        <w:t xml:space="preserve">   </w:t>
      </w:r>
      <w:r w:rsidRPr="005C7C7C">
        <w:t>11</w:t>
      </w:r>
    </w:p>
    <w:p w:rsidR="00825954" w:rsidRPr="005C7C7C" w:rsidRDefault="00825954" w:rsidP="00825954">
      <w:pPr>
        <w:ind w:left="1942"/>
        <w:rPr>
          <w:rFonts w:hint="default"/>
        </w:rPr>
      </w:pPr>
      <w:r w:rsidRPr="005C7C7C">
        <w:t xml:space="preserve">　上記の場合、指数の合計は11となるが次の障害の指数が限度となるため合計指数は７となる。</w:t>
      </w:r>
    </w:p>
    <w:p w:rsidR="00825954" w:rsidRPr="005C7C7C" w:rsidRDefault="00825954" w:rsidP="00825954">
      <w:pPr>
        <w:ind w:left="1942"/>
        <w:rPr>
          <w:rFonts w:hint="default"/>
        </w:rPr>
      </w:pPr>
      <w:r w:rsidRPr="005C7C7C">
        <w:t xml:space="preserve">　右上肢を手関節から欠くもの</w:t>
      </w:r>
      <w:r w:rsidRPr="005C7C7C">
        <w:rPr>
          <w:spacing w:val="-1"/>
        </w:rPr>
        <w:t xml:space="preserve">  </w:t>
      </w:r>
      <w:r w:rsidRPr="005C7C7C">
        <w:t xml:space="preserve">３級　等級別指数　</w:t>
      </w:r>
      <w:r w:rsidRPr="005C7C7C">
        <w:rPr>
          <w:spacing w:val="-1"/>
        </w:rPr>
        <w:t xml:space="preserve"> </w:t>
      </w:r>
      <w:r w:rsidRPr="005C7C7C">
        <w:t>７</w:t>
      </w:r>
    </w:p>
    <w:p w:rsidR="00825954" w:rsidRPr="005C7C7C" w:rsidRDefault="00825954" w:rsidP="00825954">
      <w:pPr>
        <w:ind w:left="1578" w:hanging="121"/>
        <w:rPr>
          <w:rFonts w:hint="default"/>
        </w:rPr>
      </w:pPr>
      <w:r w:rsidRPr="005C7C7C">
        <w:t>（例２）</w:t>
      </w:r>
    </w:p>
    <w:p w:rsidR="00825954" w:rsidRPr="005C7C7C" w:rsidRDefault="00825954" w:rsidP="00825954">
      <w:pPr>
        <w:ind w:left="1942"/>
        <w:rPr>
          <w:rFonts w:hint="default"/>
        </w:rPr>
      </w:pPr>
      <w:r w:rsidRPr="005C7C7C">
        <w:t xml:space="preserve">左上肢の肩関節の全廃　　　　</w:t>
      </w:r>
      <w:r w:rsidRPr="005C7C7C">
        <w:rPr>
          <w:spacing w:val="-1"/>
        </w:rPr>
        <w:t xml:space="preserve">  </w:t>
      </w:r>
      <w:r w:rsidRPr="005C7C7C">
        <w:t xml:space="preserve">４級　等級別指数　</w:t>
      </w:r>
      <w:r w:rsidRPr="005C7C7C">
        <w:rPr>
          <w:spacing w:val="-1"/>
        </w:rPr>
        <w:t xml:space="preserve"> </w:t>
      </w:r>
      <w:r w:rsidRPr="005C7C7C">
        <w:t>４</w:t>
      </w:r>
    </w:p>
    <w:p w:rsidR="00825954" w:rsidRPr="005C7C7C" w:rsidRDefault="00825954" w:rsidP="00825954">
      <w:pPr>
        <w:ind w:left="1820" w:firstLine="607"/>
        <w:rPr>
          <w:rFonts w:hint="default"/>
        </w:rPr>
      </w:pPr>
      <w:r w:rsidRPr="005C7C7C">
        <w:t xml:space="preserve">〃　肘関節　</w:t>
      </w:r>
      <w:r w:rsidRPr="005C7C7C">
        <w:rPr>
          <w:spacing w:val="-1"/>
        </w:rPr>
        <w:t xml:space="preserve"> </w:t>
      </w:r>
      <w:r w:rsidRPr="005C7C7C">
        <w:t xml:space="preserve">〃　　　　</w:t>
      </w:r>
      <w:r w:rsidRPr="005C7C7C">
        <w:rPr>
          <w:spacing w:val="-1"/>
        </w:rPr>
        <w:t xml:space="preserve">   </w:t>
      </w:r>
      <w:r w:rsidRPr="005C7C7C">
        <w:t xml:space="preserve">４級　　　〃　　　</w:t>
      </w:r>
      <w:r w:rsidRPr="005C7C7C">
        <w:rPr>
          <w:spacing w:val="-1"/>
        </w:rPr>
        <w:t xml:space="preserve"> </w:t>
      </w:r>
      <w:r w:rsidRPr="005C7C7C">
        <w:t>４</w:t>
      </w:r>
    </w:p>
    <w:p w:rsidR="00825954" w:rsidRPr="005C7C7C" w:rsidRDefault="00825954" w:rsidP="00825954">
      <w:pPr>
        <w:ind w:left="1820" w:firstLine="607"/>
        <w:rPr>
          <w:rFonts w:hint="default"/>
        </w:rPr>
      </w:pPr>
      <w:r w:rsidRPr="005C7C7C">
        <w:t xml:space="preserve">〃　手関節　</w:t>
      </w:r>
      <w:r w:rsidRPr="005C7C7C">
        <w:rPr>
          <w:spacing w:val="-1"/>
        </w:rPr>
        <w:t xml:space="preserve"> </w:t>
      </w:r>
      <w:r w:rsidRPr="005C7C7C">
        <w:t xml:space="preserve">〃　　　　　</w:t>
      </w:r>
      <w:r w:rsidRPr="005C7C7C">
        <w:rPr>
          <w:spacing w:val="-1"/>
        </w:rPr>
        <w:t xml:space="preserve"> </w:t>
      </w:r>
      <w:r w:rsidRPr="005C7C7C">
        <w:t xml:space="preserve">４級　　　〃　　　</w:t>
      </w:r>
      <w:r w:rsidRPr="005C7C7C">
        <w:rPr>
          <w:spacing w:val="-1"/>
        </w:rPr>
        <w:t xml:space="preserve"> </w:t>
      </w:r>
      <w:r w:rsidRPr="005C7C7C">
        <w:t>４</w:t>
      </w:r>
    </w:p>
    <w:p w:rsidR="00825954" w:rsidRPr="005C7C7C" w:rsidRDefault="00825954" w:rsidP="00825954">
      <w:pPr>
        <w:ind w:left="485"/>
        <w:rPr>
          <w:rFonts w:hint="default"/>
        </w:rPr>
      </w:pPr>
      <w:r w:rsidRPr="005C7C7C">
        <w:t xml:space="preserve">　</w:t>
      </w:r>
      <w:r w:rsidRPr="005C7C7C">
        <w:rPr>
          <w:spacing w:val="-1"/>
        </w:rPr>
        <w:t xml:space="preserve"> </w:t>
      </w:r>
      <w:r w:rsidRPr="005C7C7C">
        <w:t xml:space="preserve">　　　　　　　　　　　　</w:t>
      </w:r>
      <w:r w:rsidRPr="005C7C7C">
        <w:rPr>
          <w:spacing w:val="-1"/>
        </w:rPr>
        <w:t xml:space="preserve">              </w:t>
      </w:r>
      <w:r w:rsidRPr="005C7C7C">
        <w:t xml:space="preserve">　　　</w:t>
      </w:r>
      <w:r w:rsidRPr="005C7C7C">
        <w:rPr>
          <w:spacing w:val="-1"/>
        </w:rPr>
        <w:t xml:space="preserve"> </w:t>
      </w:r>
      <w:r w:rsidRPr="005C7C7C">
        <w:t>合</w:t>
      </w:r>
      <w:r w:rsidRPr="005C7C7C">
        <w:rPr>
          <w:spacing w:val="-1"/>
        </w:rPr>
        <w:t xml:space="preserve">      </w:t>
      </w:r>
      <w:r w:rsidRPr="005C7C7C">
        <w:t xml:space="preserve">計　</w:t>
      </w:r>
      <w:r w:rsidRPr="005C7C7C">
        <w:rPr>
          <w:spacing w:val="-1"/>
        </w:rPr>
        <w:t xml:space="preserve"> </w:t>
      </w:r>
      <w:r w:rsidRPr="005C7C7C">
        <w:t>12</w:t>
      </w:r>
    </w:p>
    <w:p w:rsidR="00825954" w:rsidRPr="005C7C7C" w:rsidRDefault="00825954" w:rsidP="00825954">
      <w:pPr>
        <w:ind w:left="1942"/>
        <w:rPr>
          <w:rFonts w:hint="default"/>
        </w:rPr>
      </w:pPr>
      <w:r w:rsidRPr="005C7C7C">
        <w:t xml:space="preserve">　上記の場合、指数の合計は12となるが次の障害の指数が限度となるため合計指数は11となる。</w:t>
      </w:r>
    </w:p>
    <w:p w:rsidR="00825954" w:rsidRPr="005C7C7C" w:rsidRDefault="00825954" w:rsidP="00825954">
      <w:pPr>
        <w:ind w:left="1699" w:firstLine="243"/>
        <w:rPr>
          <w:rFonts w:hint="default"/>
        </w:rPr>
      </w:pPr>
      <w:r w:rsidRPr="005C7C7C">
        <w:t xml:space="preserve">　左上肢を肩関節から欠くもの</w:t>
      </w:r>
      <w:r w:rsidRPr="005C7C7C">
        <w:rPr>
          <w:spacing w:val="-1"/>
        </w:rPr>
        <w:t xml:space="preserve">  </w:t>
      </w:r>
      <w:r w:rsidRPr="005C7C7C">
        <w:t xml:space="preserve">２級　等級別指数　</w:t>
      </w:r>
      <w:r w:rsidRPr="005C7C7C">
        <w:rPr>
          <w:spacing w:val="-1"/>
        </w:rPr>
        <w:t xml:space="preserve"> </w:t>
      </w:r>
      <w:r w:rsidRPr="005C7C7C">
        <w:t>11</w:t>
      </w:r>
    </w:p>
    <w:p w:rsidR="00825954" w:rsidRPr="005C7C7C" w:rsidRDefault="00825954" w:rsidP="00825954">
      <w:pPr>
        <w:ind w:left="607" w:hanging="121"/>
        <w:rPr>
          <w:rFonts w:hint="default"/>
        </w:rPr>
      </w:pPr>
      <w:r w:rsidRPr="005C7C7C">
        <w:t>２　認定上の留意事項</w:t>
      </w:r>
    </w:p>
    <w:p w:rsidR="00825954" w:rsidRPr="005C7C7C" w:rsidRDefault="00825954" w:rsidP="00825954">
      <w:pPr>
        <w:ind w:left="1214" w:hanging="729"/>
        <w:rPr>
          <w:rFonts w:hint="default"/>
        </w:rPr>
      </w:pPr>
      <w:r w:rsidRPr="005C7C7C">
        <w:t>（１）　音声機能障害、言語機能障害及びそしゃく機能障害の重複については１の認定方法を適用しない。</w:t>
      </w:r>
    </w:p>
    <w:p w:rsidR="00825954" w:rsidRPr="005C7C7C" w:rsidRDefault="00825954" w:rsidP="00825954">
      <w:pPr>
        <w:ind w:left="1214" w:hanging="729"/>
        <w:rPr>
          <w:rFonts w:hint="default"/>
        </w:rPr>
      </w:pPr>
      <w:r w:rsidRPr="005C7C7C">
        <w:t>（２）　体幹機能障害と下肢機能障害は原則として１の認定方法を適用してさしつかえないが、例えば、神経麻痺で起立困難なもの等については体幹及び下肢の機能障害として重複認定すべきではなく、体幹又は下肢の単独の障害として認定するものとする。</w:t>
      </w:r>
    </w:p>
    <w:p w:rsidR="00825954" w:rsidRPr="005C7C7C" w:rsidRDefault="00825954" w:rsidP="00825954">
      <w:pPr>
        <w:ind w:left="1214" w:hanging="729"/>
        <w:rPr>
          <w:rFonts w:hint="default"/>
        </w:rPr>
      </w:pPr>
      <w:r w:rsidRPr="005C7C7C">
        <w:t>（３）　聴覚障害と音声・言語機能障害が重複する場合は、１の認定方法を適用してさしつかえない。</w:t>
      </w:r>
    </w:p>
    <w:p w:rsidR="00825954" w:rsidRPr="005C7C7C" w:rsidRDefault="00825954" w:rsidP="00825954">
      <w:pPr>
        <w:ind w:left="1214"/>
        <w:rPr>
          <w:rFonts w:hint="default"/>
        </w:rPr>
      </w:pPr>
      <w:r w:rsidRPr="005C7C7C">
        <w:t xml:space="preserve">　例えば、聴力レベル100dB以上の聴覚障害（２級指数11）と音声・言語機能の喪失（３級指数７）の障害が重複する場合は１級（合計指数18）とする。</w:t>
      </w:r>
    </w:p>
    <w:p w:rsidR="00825954" w:rsidRPr="005C7C7C" w:rsidRDefault="00825954" w:rsidP="00825954">
      <w:pPr>
        <w:ind w:left="1214" w:hanging="729"/>
        <w:rPr>
          <w:rFonts w:hint="default"/>
        </w:rPr>
      </w:pPr>
      <w:r w:rsidRPr="005C7C7C">
        <w:t>（４）　７級の障害は、等級別指数を0.5とし、６級以上の障害と同様に取り扱って合計指数を算定する。</w:t>
      </w:r>
    </w:p>
    <w:p w:rsidR="00825954" w:rsidRPr="005C7C7C" w:rsidRDefault="00825954" w:rsidP="00825954">
      <w:pPr>
        <w:ind w:left="728" w:hanging="243"/>
        <w:rPr>
          <w:rFonts w:hint="default"/>
        </w:rPr>
      </w:pPr>
      <w:r w:rsidRPr="005C7C7C">
        <w:t>３　上記により認定される障害等級が著しく均衡を欠くと認められるものについては、地方社会福祉審議会の意見を聞いて別に定めるものとする。</w:t>
      </w:r>
    </w:p>
    <w:p w:rsidR="00103B69" w:rsidRPr="00825954" w:rsidRDefault="00103B69" w:rsidP="00825954">
      <w:pPr>
        <w:rPr>
          <w:rFonts w:hint="default"/>
        </w:rPr>
      </w:pPr>
    </w:p>
    <w:sectPr w:rsidR="00103B69" w:rsidRPr="008259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3B69"/>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04552"/>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1C77"/>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0631"/>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7669F"/>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5954"/>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625EC"/>
    <w:rsid w:val="00B6672C"/>
    <w:rsid w:val="00B6734A"/>
    <w:rsid w:val="00B8707F"/>
    <w:rsid w:val="00B94B99"/>
    <w:rsid w:val="00B956C0"/>
    <w:rsid w:val="00BA1F94"/>
    <w:rsid w:val="00BB13EE"/>
    <w:rsid w:val="00BC302D"/>
    <w:rsid w:val="00BC30E1"/>
    <w:rsid w:val="00BC32B8"/>
    <w:rsid w:val="00BD2039"/>
    <w:rsid w:val="00BD7DAA"/>
    <w:rsid w:val="00BE748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B7545"/>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26D8"/>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愛知県</cp:lastModifiedBy>
  <cp:revision>12</cp:revision>
  <cp:lastPrinted>2016-03-29T10:44:00Z</cp:lastPrinted>
  <dcterms:created xsi:type="dcterms:W3CDTF">2016-03-29T09:44:00Z</dcterms:created>
  <dcterms:modified xsi:type="dcterms:W3CDTF">2016-03-29T10:44:00Z</dcterms:modified>
</cp:coreProperties>
</file>