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38" w:rsidRPr="00D34B38" w:rsidRDefault="00D34B38" w:rsidP="00D34B38">
      <w:pPr>
        <w:ind w:left="485" w:hanging="243"/>
        <w:rPr>
          <w:rFonts w:hint="default"/>
        </w:rPr>
      </w:pPr>
      <w:r w:rsidRPr="00D34B38">
        <w:t>一　視覚障害</w:t>
      </w:r>
    </w:p>
    <w:p w:rsidR="00D34B38" w:rsidRPr="00D34B38" w:rsidRDefault="00D34B38" w:rsidP="00D34B38">
      <w:pPr>
        <w:ind w:left="607" w:hanging="121"/>
        <w:rPr>
          <w:rFonts w:hint="default"/>
        </w:rPr>
      </w:pPr>
      <w:r w:rsidRPr="00D34B38">
        <w:t>１　総括的解説</w:t>
      </w:r>
    </w:p>
    <w:p w:rsidR="00D34B38" w:rsidRPr="00D34B38" w:rsidRDefault="00D34B38" w:rsidP="00D34B38">
      <w:pPr>
        <w:ind w:left="1214" w:hanging="729"/>
        <w:rPr>
          <w:rFonts w:hint="default"/>
        </w:rPr>
      </w:pPr>
      <w:r w:rsidRPr="00D34B38">
        <w:t>（１）　屈折異常がある者については、最も適正なレンズを選び、矯正視力によって判定する。</w:t>
      </w:r>
    </w:p>
    <w:p w:rsidR="00D34B38" w:rsidRPr="00D34B38" w:rsidRDefault="00D34B38" w:rsidP="00D34B38">
      <w:pPr>
        <w:ind w:left="728" w:hanging="243"/>
        <w:rPr>
          <w:rFonts w:hint="default"/>
        </w:rPr>
      </w:pPr>
      <w:r w:rsidRPr="00D34B38">
        <w:t>（２）　視力表は万国式を基準とした視力表を用いるものとする。</w:t>
      </w:r>
    </w:p>
    <w:p w:rsidR="00D34B38" w:rsidRPr="00D34B38" w:rsidRDefault="00D34B38" w:rsidP="00D34B38">
      <w:pPr>
        <w:ind w:left="1214" w:hanging="729"/>
        <w:rPr>
          <w:rFonts w:hint="default"/>
        </w:rPr>
      </w:pPr>
      <w:r w:rsidRPr="00D34B38">
        <w:t>（３）　視野はゴールドマン型視野計、あるいは自動視野計を用いて測定する。</w:t>
      </w:r>
    </w:p>
    <w:p w:rsidR="00D34B38" w:rsidRPr="00D34B38" w:rsidRDefault="00D34B38" w:rsidP="00D34B38">
      <w:pPr>
        <w:ind w:left="1214" w:hanging="729"/>
        <w:rPr>
          <w:rFonts w:hint="default"/>
        </w:rPr>
      </w:pPr>
      <w:r w:rsidRPr="00D34B38">
        <w:t xml:space="preserve">　　　　ゴールドマン型視野計を用いる場合は、「周辺視野角度（Ⅰ／４視標による。）の総和が左右眼でそれぞれ80度以下のもの」、「両眼による視野の２分の１以上が欠けているもの」をⅠ／４視標を用い判定する。「両眼中心視野角度（Ｉ／２指標による）」はⅠ／２視標を用いて中心視野角度を測定した値により判定する。</w:t>
      </w:r>
    </w:p>
    <w:p w:rsidR="00D34B38" w:rsidRPr="00D34B38" w:rsidRDefault="00D34B38" w:rsidP="00D34B38">
      <w:pPr>
        <w:ind w:left="1214" w:hanging="729"/>
        <w:rPr>
          <w:rFonts w:hint="default"/>
        </w:rPr>
      </w:pPr>
      <w:r w:rsidRPr="00D34B38">
        <w:t xml:space="preserve">　　　　自動視野計を用いる場合は、両眼開放視認点数の算定には、両眼開放エスターマンテスト（図１）で120点を測定する。中心視野視認点数の算定には、10－２プログラム（図２）で中心10度内を２度間隔で68点測定する。</w:t>
      </w:r>
    </w:p>
    <w:p w:rsidR="00D34B38" w:rsidRPr="00D34B38" w:rsidRDefault="00D34B38" w:rsidP="00D34B38">
      <w:pPr>
        <w:ind w:left="607" w:hanging="121"/>
        <w:rPr>
          <w:rFonts w:hint="default"/>
        </w:rPr>
      </w:pPr>
    </w:p>
    <w:p w:rsidR="00D34B38" w:rsidRPr="00D34B38" w:rsidRDefault="00D34B38" w:rsidP="00D34B38">
      <w:pPr>
        <w:ind w:left="607" w:hanging="121"/>
        <w:rPr>
          <w:rFonts w:hint="default"/>
        </w:rPr>
      </w:pPr>
      <w:r w:rsidRPr="00D34B38">
        <w:t>（図１）</w:t>
      </w:r>
    </w:p>
    <w:p w:rsidR="00D34B38" w:rsidRPr="00D34B38" w:rsidRDefault="00D34B38" w:rsidP="00D34B38">
      <w:pPr>
        <w:ind w:left="607" w:hanging="121"/>
        <w:rPr>
          <w:rFonts w:hint="default"/>
        </w:rPr>
      </w:pPr>
      <w:r w:rsidRPr="00D34B38">
        <w:rPr>
          <w:rFonts w:hint="default"/>
          <w:noProof/>
        </w:rPr>
        <w:drawing>
          <wp:inline distT="0" distB="0" distL="0" distR="0" wp14:anchorId="26FCEB07" wp14:editId="4FD135CC">
            <wp:extent cx="3713692" cy="386715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3040" cy="3876884"/>
                    </a:xfrm>
                    <a:prstGeom prst="rect">
                      <a:avLst/>
                    </a:prstGeom>
                    <a:noFill/>
                    <a:ln>
                      <a:noFill/>
                    </a:ln>
                  </pic:spPr>
                </pic:pic>
              </a:graphicData>
            </a:graphic>
          </wp:inline>
        </w:drawing>
      </w:r>
    </w:p>
    <w:p w:rsidR="00D34B38" w:rsidRDefault="00D34B38" w:rsidP="00D34B38">
      <w:pPr>
        <w:ind w:left="607" w:hanging="121"/>
        <w:rPr>
          <w:rFonts w:hint="default"/>
        </w:rPr>
      </w:pPr>
    </w:p>
    <w:p w:rsidR="00D34B38" w:rsidRPr="00D34B38" w:rsidRDefault="00D34B38" w:rsidP="00D34B38">
      <w:pPr>
        <w:ind w:left="607" w:hanging="121"/>
        <w:rPr>
          <w:rFonts w:hint="default"/>
        </w:rPr>
      </w:pPr>
      <w:r w:rsidRPr="00D34B38">
        <w:lastRenderedPageBreak/>
        <w:t>（図２）</w:t>
      </w:r>
    </w:p>
    <w:p w:rsidR="00D34B38" w:rsidRPr="00D34B38" w:rsidRDefault="00D34B38" w:rsidP="00D34B38">
      <w:pPr>
        <w:ind w:left="607" w:hanging="121"/>
        <w:rPr>
          <w:rFonts w:hint="default"/>
        </w:rPr>
      </w:pPr>
      <w:r w:rsidRPr="00D34B38">
        <w:rPr>
          <w:rFonts w:hint="default"/>
          <w:noProof/>
        </w:rPr>
        <w:drawing>
          <wp:inline distT="0" distB="0" distL="0" distR="0" wp14:anchorId="2809AD2D" wp14:editId="16455790">
            <wp:extent cx="3686175" cy="38892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0056" cy="3893365"/>
                    </a:xfrm>
                    <a:prstGeom prst="rect">
                      <a:avLst/>
                    </a:prstGeom>
                    <a:noFill/>
                    <a:ln>
                      <a:noFill/>
                    </a:ln>
                  </pic:spPr>
                </pic:pic>
              </a:graphicData>
            </a:graphic>
          </wp:inline>
        </w:drawing>
      </w:r>
    </w:p>
    <w:p w:rsidR="00D34B38" w:rsidRPr="00D34B38" w:rsidRDefault="00D34B38" w:rsidP="00D34B38">
      <w:pPr>
        <w:ind w:left="607" w:hanging="121"/>
        <w:rPr>
          <w:rFonts w:hint="default"/>
        </w:rPr>
      </w:pPr>
    </w:p>
    <w:p w:rsidR="00D34B38" w:rsidRPr="00D34B38" w:rsidRDefault="00D34B38" w:rsidP="00D34B38">
      <w:pPr>
        <w:ind w:left="607" w:hanging="121"/>
        <w:rPr>
          <w:rFonts w:hint="default"/>
        </w:rPr>
      </w:pPr>
      <w:r w:rsidRPr="00D34B38">
        <w:t>２　各項解説</w:t>
      </w:r>
    </w:p>
    <w:p w:rsidR="00D34B38" w:rsidRPr="00D34B38" w:rsidRDefault="00D34B38" w:rsidP="00D34B38">
      <w:pPr>
        <w:ind w:left="728" w:hanging="243"/>
        <w:rPr>
          <w:rFonts w:hint="default"/>
        </w:rPr>
      </w:pPr>
      <w:r w:rsidRPr="00D34B38">
        <w:t>（１）　視力障害</w:t>
      </w:r>
    </w:p>
    <w:p w:rsidR="00D34B38" w:rsidRPr="00D34B38" w:rsidRDefault="00D34B38" w:rsidP="00D34B38">
      <w:pPr>
        <w:ind w:left="1214" w:hanging="243"/>
        <w:rPr>
          <w:rFonts w:hint="default"/>
        </w:rPr>
      </w:pPr>
      <w:r w:rsidRPr="00D34B38">
        <w:t>ア　視力は万国式試視力表によって測ったものをいい、屈折異常のある者については、矯正視力を用いる。</w:t>
      </w:r>
    </w:p>
    <w:p w:rsidR="00D34B38" w:rsidRPr="00D34B38" w:rsidRDefault="00D34B38" w:rsidP="00D34B38">
      <w:pPr>
        <w:ind w:left="1214" w:hanging="14"/>
        <w:rPr>
          <w:rFonts w:hint="default"/>
        </w:rPr>
      </w:pPr>
      <w:r w:rsidRPr="00D34B38">
        <w:t xml:space="preserve">　両眼の視力を別々に測定し、視力の良い方の眼の視力と他方の眼の視力とで等級表から等級を求める。等級の換算表（表１）の横軸には視力の良い方の眼の視力、縦軸には他方の眼の視力が示してある。</w:t>
      </w:r>
    </w:p>
    <w:p w:rsidR="00D34B38" w:rsidRPr="00D34B38" w:rsidRDefault="00D34B38" w:rsidP="00D34B38">
      <w:pPr>
        <w:ind w:left="1200" w:hangingChars="500" w:hanging="1200"/>
        <w:rPr>
          <w:rFonts w:hint="default"/>
        </w:rPr>
      </w:pPr>
      <w:r w:rsidRPr="00D34B38">
        <w:t xml:space="preserve">　　　　イ　両眼を同時に使用できない複視の場合は、非優位眼の視力を０として取り扱う。例えば、両眼とも視力が0.6で眼筋麻痺により複視が起こっていて、日常生活で片眼を遮閉しなければならないような場合には、一眼の視力を０とみなし６級となる。なお、顕性の眼位ずれがあっても、両眼複視を自覚しない場合には、これには該当しない。</w:t>
      </w:r>
    </w:p>
    <w:p w:rsidR="00D34B38" w:rsidRPr="00D34B38" w:rsidRDefault="00D34B38" w:rsidP="00D34B38">
      <w:pPr>
        <w:ind w:left="1200" w:hangingChars="500" w:hanging="1200"/>
        <w:rPr>
          <w:rFonts w:hint="default"/>
        </w:rPr>
      </w:pPr>
    </w:p>
    <w:p w:rsidR="00D34B38" w:rsidRPr="00D34B38" w:rsidRDefault="00D34B38" w:rsidP="00D34B38">
      <w:pPr>
        <w:rPr>
          <w:rFonts w:hint="default"/>
        </w:rPr>
      </w:pPr>
    </w:p>
    <w:p w:rsidR="00D34B38" w:rsidRPr="00D34B38" w:rsidRDefault="00D34B38" w:rsidP="00D34B38">
      <w:pPr>
        <w:ind w:left="1200" w:hangingChars="500" w:hanging="1200"/>
        <w:rPr>
          <w:rFonts w:hint="default"/>
        </w:rPr>
      </w:pPr>
      <w:r w:rsidRPr="00D34B38">
        <w:lastRenderedPageBreak/>
        <w:t>（表１）</w:t>
      </w:r>
    </w:p>
    <w:p w:rsidR="00D34B38" w:rsidRPr="00D34B38" w:rsidRDefault="00AA01B1" w:rsidP="00D34B38">
      <w:pPr>
        <w:ind w:left="800" w:hangingChars="500" w:hanging="800"/>
        <w:rPr>
          <w:rFonts w:hint="default"/>
          <w:sz w:val="16"/>
          <w:szCs w:val="16"/>
        </w:rPr>
      </w:pPr>
      <w:r>
        <w:rPr>
          <w:rFonts w:hint="default"/>
          <w:noProof/>
          <w:sz w:val="16"/>
          <w:szCs w:val="16"/>
        </w:rPr>
        <w:drawing>
          <wp:inline distT="0" distB="0" distL="0" distR="0" wp14:anchorId="699CDB1A">
            <wp:extent cx="5410835" cy="2223616"/>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816" cy="2227307"/>
                    </a:xfrm>
                    <a:prstGeom prst="rect">
                      <a:avLst/>
                    </a:prstGeom>
                    <a:noFill/>
                    <a:ln>
                      <a:noFill/>
                    </a:ln>
                  </pic:spPr>
                </pic:pic>
              </a:graphicData>
            </a:graphic>
          </wp:inline>
        </w:drawing>
      </w:r>
    </w:p>
    <w:p w:rsidR="00D34B38" w:rsidRPr="00D34B38" w:rsidRDefault="00D34B38" w:rsidP="00D34B38">
      <w:pPr>
        <w:ind w:left="485"/>
        <w:rPr>
          <w:rFonts w:hint="default"/>
        </w:rPr>
      </w:pPr>
    </w:p>
    <w:p w:rsidR="00D34B38" w:rsidRPr="00D34B38" w:rsidRDefault="00D34B38" w:rsidP="00D34B38">
      <w:pPr>
        <w:ind w:left="485"/>
        <w:rPr>
          <w:rFonts w:hint="default"/>
        </w:rPr>
      </w:pPr>
      <w:r w:rsidRPr="00D34B38">
        <w:t>（２）　視野障害</w:t>
      </w:r>
      <w:bookmarkStart w:id="0" w:name="_GoBack"/>
      <w:bookmarkEnd w:id="0"/>
    </w:p>
    <w:p w:rsidR="00D34B38" w:rsidRPr="00D34B38" w:rsidRDefault="00D34B38" w:rsidP="00D34B38">
      <w:pPr>
        <w:ind w:left="1214" w:hanging="243"/>
        <w:rPr>
          <w:rFonts w:hint="default"/>
        </w:rPr>
      </w:pPr>
      <w:r w:rsidRPr="00D34B38">
        <w:t>ア　ゴールドマン型視野計を用いる場合は、「周辺視野角度（Ⅰ／４視標による）の総和が左右眼それぞれ80</w:t>
      </w:r>
      <w:r w:rsidR="00B86F50">
        <w:t>度以下のもの」、「両眼中心視野角度</w:t>
      </w:r>
      <w:r w:rsidRPr="00D34B38">
        <w:t>（Ⅰ／２視標による）」を以下によって判定する。</w:t>
      </w:r>
    </w:p>
    <w:p w:rsidR="00D34B38" w:rsidRPr="00D34B38" w:rsidRDefault="00D34B38" w:rsidP="00D34B38">
      <w:pPr>
        <w:ind w:left="1680" w:hangingChars="700" w:hanging="1680"/>
        <w:rPr>
          <w:rFonts w:hint="default"/>
        </w:rPr>
      </w:pPr>
      <w:r w:rsidRPr="00D34B38">
        <w:t xml:space="preserve">　　　　（ア）　Ⅰ／４</w:t>
      </w:r>
      <w:r w:rsidR="00B86F50">
        <w:t>の視標による８方向の周辺視野角度（上・内上・内・内下・下</w:t>
      </w:r>
      <w:r w:rsidRPr="00D34B38">
        <w:t>・外下・外・外上８方向の角度）の総和が左右眼それぞれ80</w:t>
      </w:r>
      <w:r w:rsidR="00B86F50">
        <w:t>度以下で</w:t>
      </w:r>
      <w:r w:rsidRPr="00D34B38">
        <w:t>あるかどうかを判定する。８方向の周辺視野角度はⅠ／視標が視認できない部分を除いて算出する。</w:t>
      </w:r>
    </w:p>
    <w:p w:rsidR="00D34B38" w:rsidRPr="00D34B38" w:rsidRDefault="00D34B38" w:rsidP="00D34B38">
      <w:pPr>
        <w:ind w:left="1680" w:hangingChars="700" w:hanging="1680"/>
        <w:rPr>
          <w:rFonts w:hint="default"/>
        </w:rPr>
      </w:pPr>
      <w:r w:rsidRPr="00D34B38">
        <w:t xml:space="preserve">　　　　　　　　Ⅰ／４の視標で、周辺にも視野が存在するが、中心部の視野と連続しない場合は、中心部の視野のみで判定する。</w:t>
      </w:r>
    </w:p>
    <w:p w:rsidR="00D34B38" w:rsidRPr="00D34B38" w:rsidRDefault="00D34B38" w:rsidP="00D34B38">
      <w:pPr>
        <w:ind w:left="1680" w:hangingChars="700" w:hanging="1680"/>
        <w:rPr>
          <w:rFonts w:hint="default"/>
        </w:rPr>
      </w:pPr>
      <w:r w:rsidRPr="00D34B38">
        <w:t xml:space="preserve">　　　　　　　　Ⅰ／４の視標で、中心10度以内に視野が存在しない場合は、周辺視野角度の総和が80度以下として取り扱う。</w:t>
      </w:r>
    </w:p>
    <w:p w:rsidR="00D34B38" w:rsidRPr="00D34B38" w:rsidRDefault="00D34B38" w:rsidP="00D34B38">
      <w:pPr>
        <w:ind w:left="1680" w:hangingChars="700" w:hanging="1680"/>
        <w:rPr>
          <w:rFonts w:hint="default"/>
        </w:rPr>
      </w:pPr>
      <w:r w:rsidRPr="00D34B38">
        <w:t xml:space="preserve">　　　　（イ）　Ⅰ／２の視標による８方向の中心視野角度の総和を左右眼それぞれ求める。８方向の中心視野角度はⅠ／２視標が視認できない部分を除いて算出する。さらに、次式により、両眼中心視野角度を計算する（小数点以下は四捨五入し、整数で表す）。</w:t>
      </w:r>
    </w:p>
    <w:p w:rsidR="00D34B38" w:rsidRPr="00D34B38" w:rsidRDefault="00D34B38" w:rsidP="00D34B38">
      <w:pPr>
        <w:ind w:left="1680" w:hangingChars="700" w:hanging="1680"/>
        <w:rPr>
          <w:rFonts w:hint="default"/>
        </w:rPr>
      </w:pPr>
      <w:r w:rsidRPr="00D34B38">
        <w:t xml:space="preserve">　　　　　　　　両眼中心視野角度＝（３×中心視野角度の総和が大きい方の眼の中心視野角度の総和＋中心視野角度の総和が小さい方の眼の中心視野角度の総和）／４</w:t>
      </w:r>
    </w:p>
    <w:p w:rsidR="00D34B38" w:rsidRPr="00D34B38" w:rsidRDefault="00D34B38" w:rsidP="00D34B38">
      <w:pPr>
        <w:ind w:left="1680" w:hangingChars="700" w:hanging="1680"/>
        <w:rPr>
          <w:rFonts w:hint="default"/>
        </w:rPr>
      </w:pPr>
      <w:r w:rsidRPr="00D34B38">
        <w:t xml:space="preserve">　　　　　　　　なお、Ⅰ／２の指標で中心10度以内に視野が存在しない場合は、中心視野角度の総和は０度として取り扱う。</w:t>
      </w:r>
    </w:p>
    <w:p w:rsidR="00D34B38" w:rsidRPr="00D34B38" w:rsidRDefault="00D34B38" w:rsidP="00D34B38">
      <w:pPr>
        <w:ind w:left="1200" w:hangingChars="500" w:hanging="1200"/>
        <w:rPr>
          <w:rFonts w:hint="default"/>
        </w:rPr>
      </w:pPr>
      <w:r w:rsidRPr="00D34B38">
        <w:t xml:space="preserve">　　　　イ　自動視野計を用いる場合は、両眼開放視認点数及び両眼中心視野視認点数を以下の方法で判定する。</w:t>
      </w:r>
    </w:p>
    <w:p w:rsidR="00D34B38" w:rsidRPr="00D34B38" w:rsidRDefault="00D34B38" w:rsidP="00D34B38">
      <w:pPr>
        <w:ind w:left="1680" w:hangingChars="700" w:hanging="1680"/>
        <w:rPr>
          <w:rFonts w:hint="default"/>
        </w:rPr>
      </w:pPr>
      <w:r w:rsidRPr="00D34B38">
        <w:t xml:space="preserve">　　　　（ア）　視標サイズⅢによる両眼開放エスターマンテストで両眼開放</w:t>
      </w:r>
      <w:r w:rsidRPr="00D34B38">
        <w:lastRenderedPageBreak/>
        <w:t>視認点数が70点以下かどうかを判定する。</w:t>
      </w:r>
    </w:p>
    <w:p w:rsidR="00D34B38" w:rsidRPr="00D34B38" w:rsidRDefault="00D34B38" w:rsidP="00D34B38">
      <w:pPr>
        <w:ind w:left="1680" w:hangingChars="700" w:hanging="1680"/>
        <w:rPr>
          <w:rFonts w:hint="default"/>
        </w:rPr>
      </w:pPr>
      <w:r w:rsidRPr="00D34B38">
        <w:t xml:space="preserve">　　　　（イ）　視標サイズⅢによる10</w:t>
      </w:r>
      <w:r w:rsidRPr="00D34B38">
        <w:rPr>
          <w:rFonts w:hint="default"/>
        </w:rPr>
        <w:t>-2</w:t>
      </w:r>
      <w:r w:rsidRPr="00D34B38">
        <w:t>プログラムで測定を行い、左右眼それぞれ感度が26dB以上の検査点数を数え中心視野視認点数を求める。dBの計算は、背景輝度31.5</w:t>
      </w:r>
      <w:r w:rsidRPr="00D34B38">
        <w:rPr>
          <w:rFonts w:hint="default"/>
        </w:rPr>
        <w:t>asb</w:t>
      </w:r>
      <w:r w:rsidRPr="00D34B38">
        <w:t>で視標輝度10,000</w:t>
      </w:r>
      <w:r w:rsidRPr="00D34B38">
        <w:rPr>
          <w:rFonts w:hint="default"/>
        </w:rPr>
        <w:t>asb</w:t>
      </w:r>
      <w:r w:rsidRPr="00D34B38">
        <w:t>を０dBとしたスケールで算定する。さらに、次式により、両眼中心視野視認点数を計算する（小数点以下は四捨五入し、整数で表す）。</w:t>
      </w:r>
    </w:p>
    <w:p w:rsidR="00D34B38" w:rsidRPr="00D34B38" w:rsidRDefault="00D34B38" w:rsidP="00D34B38">
      <w:pPr>
        <w:ind w:left="1680" w:hangingChars="700" w:hanging="1680"/>
        <w:rPr>
          <w:rFonts w:hint="default"/>
        </w:rPr>
      </w:pPr>
      <w:r w:rsidRPr="00D34B38">
        <w:t xml:space="preserve">　　　　　　　　両眼中心視野視認点数＝（３×中心視野視認点数が多い方の眼の中心視野視認点数＋中心視野視認点数が少ない方の眼の中心視野視認点数）／４</w:t>
      </w:r>
    </w:p>
    <w:p w:rsidR="00D34B38" w:rsidRPr="00D34B38" w:rsidRDefault="00D34B38" w:rsidP="00D34B38">
      <w:pPr>
        <w:ind w:left="1200" w:hangingChars="500" w:hanging="1200"/>
        <w:rPr>
          <w:rFonts w:hint="default"/>
        </w:rPr>
      </w:pPr>
      <w:r w:rsidRPr="00D34B38">
        <w:t xml:space="preserve">　　　　ウ　「両眼による視野の２分の１以上が欠けているもの」とは、両眼で一点を注視しつつ測定した視野が、生理的限界の面積の２分の１以上欠損している場合の意味である。</w:t>
      </w:r>
    </w:p>
    <w:p w:rsidR="00D34B38" w:rsidRPr="00D34B38" w:rsidRDefault="00D34B38" w:rsidP="00D34B38">
      <w:pPr>
        <w:ind w:left="1680" w:hangingChars="700" w:hanging="1680"/>
        <w:rPr>
          <w:rFonts w:hint="default"/>
        </w:rPr>
      </w:pPr>
      <w:r w:rsidRPr="00D34B38">
        <w:t xml:space="preserve">　　　　（ア）　視野の生理的限界は、左右眼それぞれに上・内上・内・内下60度、下70度、外下80度、外95度、外上75度である。</w:t>
      </w:r>
    </w:p>
    <w:p w:rsidR="00D34B38" w:rsidRPr="00D34B38" w:rsidRDefault="00D34B38" w:rsidP="00D34B38">
      <w:pPr>
        <w:ind w:left="1680" w:hangingChars="700" w:hanging="1680"/>
        <w:rPr>
          <w:rFonts w:hint="default"/>
        </w:rPr>
      </w:pPr>
      <w:r w:rsidRPr="00D34B38">
        <w:t xml:space="preserve">　　　　（イ）　ゴールド</w:t>
      </w:r>
      <w:r w:rsidR="00B86F50">
        <w:t>マン型視野計を用いる場合は、左右眼それぞれに測定した</w:t>
      </w:r>
      <w:r w:rsidRPr="00D34B38">
        <w:t>Ⅰ／４の視標による視野表を重ね合わせることで、両眼による視野の面積を得る。その際、面積は厳格に計算しなくてよい。</w:t>
      </w:r>
    </w:p>
    <w:p w:rsidR="00D34B38" w:rsidRPr="00D34B38" w:rsidRDefault="00D34B38" w:rsidP="00D34B38">
      <w:pPr>
        <w:ind w:left="1680" w:hangingChars="700" w:hanging="1680"/>
        <w:rPr>
          <w:rFonts w:hint="default"/>
        </w:rPr>
      </w:pPr>
      <w:r w:rsidRPr="00D34B38">
        <w:t xml:space="preserve">　　　　（ウ）　自動視野計を用いる場合は、両眼開放エスターマンテストで視認点数が100点以下である。</w:t>
      </w:r>
    </w:p>
    <w:p w:rsidR="00D34B38" w:rsidRPr="00D34B38" w:rsidRDefault="00D34B38" w:rsidP="00D34B38">
      <w:pPr>
        <w:ind w:left="1200" w:hangingChars="500" w:hanging="1200"/>
        <w:rPr>
          <w:rFonts w:hint="default"/>
        </w:rPr>
      </w:pPr>
      <w:r w:rsidRPr="00D34B38">
        <w:t xml:space="preserve">　　　　エ　なお、ゴールドマン型視野計又は自動視野計を用いた場合の等級認定について、表２のとおり示したので参照されたい。</w:t>
      </w:r>
    </w:p>
    <w:p w:rsidR="00B86F50" w:rsidRDefault="00B86F50" w:rsidP="00D34B38">
      <w:pPr>
        <w:ind w:left="1200" w:hangingChars="500" w:hanging="1200"/>
        <w:rPr>
          <w:rFonts w:hint="default"/>
        </w:rPr>
      </w:pPr>
    </w:p>
    <w:p w:rsidR="00D34B38" w:rsidRPr="00D34B38" w:rsidRDefault="00D34B38" w:rsidP="00D34B38">
      <w:pPr>
        <w:ind w:left="1200" w:hangingChars="500" w:hanging="1200"/>
        <w:rPr>
          <w:rFonts w:hint="default"/>
        </w:rPr>
      </w:pPr>
      <w:r w:rsidRPr="00D34B38">
        <w:t>（表２）</w:t>
      </w:r>
    </w:p>
    <w:tbl>
      <w:tblPr>
        <w:tblStyle w:val="a3"/>
        <w:tblW w:w="0" w:type="auto"/>
        <w:tblInd w:w="392" w:type="dxa"/>
        <w:tblLook w:val="04A0" w:firstRow="1" w:lastRow="0" w:firstColumn="1" w:lastColumn="0" w:noHBand="0" w:noVBand="1"/>
      </w:tblPr>
      <w:tblGrid>
        <w:gridCol w:w="543"/>
        <w:gridCol w:w="1943"/>
        <w:gridCol w:w="1944"/>
        <w:gridCol w:w="1954"/>
        <w:gridCol w:w="1944"/>
      </w:tblGrid>
      <w:tr w:rsidR="00D34B38" w:rsidRPr="00D34B38" w:rsidTr="00465763">
        <w:trPr>
          <w:trHeight w:val="222"/>
        </w:trPr>
        <w:tc>
          <w:tcPr>
            <w:tcW w:w="567" w:type="dxa"/>
            <w:vMerge w:val="restart"/>
          </w:tcPr>
          <w:p w:rsidR="00D34B38" w:rsidRPr="00D34B38" w:rsidRDefault="00D34B38" w:rsidP="00D34B38">
            <w:pPr>
              <w:jc w:val="center"/>
              <w:rPr>
                <w:rFonts w:hint="default"/>
                <w:sz w:val="16"/>
                <w:szCs w:val="16"/>
              </w:rPr>
            </w:pPr>
          </w:p>
        </w:tc>
        <w:tc>
          <w:tcPr>
            <w:tcW w:w="4323" w:type="dxa"/>
            <w:gridSpan w:val="2"/>
          </w:tcPr>
          <w:p w:rsidR="00D34B38" w:rsidRPr="00D34B38" w:rsidRDefault="00D34B38" w:rsidP="00D34B38">
            <w:pPr>
              <w:spacing w:line="240" w:lineRule="exact"/>
              <w:jc w:val="center"/>
              <w:rPr>
                <w:rFonts w:hint="default"/>
                <w:sz w:val="16"/>
                <w:szCs w:val="16"/>
              </w:rPr>
            </w:pPr>
            <w:r w:rsidRPr="00D34B38">
              <w:rPr>
                <w:sz w:val="16"/>
                <w:szCs w:val="16"/>
              </w:rPr>
              <w:t>ゴールドマン型視野計</w:t>
            </w:r>
          </w:p>
        </w:tc>
        <w:tc>
          <w:tcPr>
            <w:tcW w:w="4324" w:type="dxa"/>
            <w:gridSpan w:val="2"/>
          </w:tcPr>
          <w:p w:rsidR="00D34B38" w:rsidRPr="00D34B38" w:rsidRDefault="00D34B38" w:rsidP="00D34B38">
            <w:pPr>
              <w:spacing w:line="240" w:lineRule="exact"/>
              <w:jc w:val="center"/>
              <w:rPr>
                <w:rFonts w:hint="default"/>
                <w:sz w:val="16"/>
                <w:szCs w:val="16"/>
              </w:rPr>
            </w:pPr>
            <w:r w:rsidRPr="00D34B38">
              <w:rPr>
                <w:sz w:val="16"/>
                <w:szCs w:val="16"/>
              </w:rPr>
              <w:t>自動視野計</w:t>
            </w:r>
          </w:p>
        </w:tc>
      </w:tr>
      <w:tr w:rsidR="00D34B38" w:rsidRPr="00D34B38" w:rsidTr="00465763">
        <w:tc>
          <w:tcPr>
            <w:tcW w:w="567" w:type="dxa"/>
            <w:vMerge/>
          </w:tcPr>
          <w:p w:rsidR="00D34B38" w:rsidRPr="00D34B38" w:rsidRDefault="00D34B38" w:rsidP="00D34B38">
            <w:pPr>
              <w:jc w:val="center"/>
              <w:rPr>
                <w:rFonts w:hint="default"/>
                <w:sz w:val="16"/>
                <w:szCs w:val="16"/>
              </w:rPr>
            </w:pPr>
          </w:p>
        </w:tc>
        <w:tc>
          <w:tcPr>
            <w:tcW w:w="2161" w:type="dxa"/>
            <w:vAlign w:val="center"/>
          </w:tcPr>
          <w:p w:rsidR="00D34B38" w:rsidRPr="00D34B38" w:rsidRDefault="00D34B38" w:rsidP="00D34B38">
            <w:pPr>
              <w:spacing w:line="240" w:lineRule="exact"/>
              <w:jc w:val="center"/>
              <w:rPr>
                <w:rFonts w:hint="default"/>
                <w:sz w:val="16"/>
                <w:szCs w:val="16"/>
              </w:rPr>
            </w:pPr>
            <w:r w:rsidRPr="00D34B38">
              <w:rPr>
                <w:sz w:val="16"/>
                <w:szCs w:val="16"/>
              </w:rPr>
              <w:t>Ⅰ／４視標</w:t>
            </w:r>
          </w:p>
        </w:tc>
        <w:tc>
          <w:tcPr>
            <w:tcW w:w="2162" w:type="dxa"/>
            <w:vAlign w:val="center"/>
          </w:tcPr>
          <w:p w:rsidR="00D34B38" w:rsidRPr="00D34B38" w:rsidRDefault="00D34B38" w:rsidP="00D34B38">
            <w:pPr>
              <w:spacing w:line="240" w:lineRule="exact"/>
              <w:jc w:val="center"/>
              <w:rPr>
                <w:rFonts w:hint="default"/>
                <w:sz w:val="16"/>
                <w:szCs w:val="16"/>
              </w:rPr>
            </w:pPr>
            <w:r w:rsidRPr="00D34B38">
              <w:rPr>
                <w:sz w:val="16"/>
                <w:szCs w:val="16"/>
              </w:rPr>
              <w:t>Ⅰ／２視標</w:t>
            </w:r>
          </w:p>
        </w:tc>
        <w:tc>
          <w:tcPr>
            <w:tcW w:w="2162" w:type="dxa"/>
          </w:tcPr>
          <w:p w:rsidR="00D34B38" w:rsidRPr="00D34B38" w:rsidRDefault="00D34B38" w:rsidP="00D34B38">
            <w:pPr>
              <w:spacing w:line="240" w:lineRule="exact"/>
              <w:jc w:val="center"/>
              <w:rPr>
                <w:rFonts w:hint="default"/>
                <w:sz w:val="16"/>
                <w:szCs w:val="16"/>
              </w:rPr>
            </w:pPr>
            <w:r w:rsidRPr="00D34B38">
              <w:rPr>
                <w:sz w:val="16"/>
                <w:szCs w:val="16"/>
              </w:rPr>
              <w:t>両眼開放エスターマン　　　　テスト視認点数</w:t>
            </w:r>
          </w:p>
        </w:tc>
        <w:tc>
          <w:tcPr>
            <w:tcW w:w="2162" w:type="dxa"/>
          </w:tcPr>
          <w:p w:rsidR="00D34B38" w:rsidRPr="00D34B38" w:rsidRDefault="00D34B38" w:rsidP="00D34B38">
            <w:pPr>
              <w:spacing w:line="240" w:lineRule="exact"/>
              <w:jc w:val="center"/>
              <w:rPr>
                <w:rFonts w:hint="default"/>
                <w:sz w:val="16"/>
                <w:szCs w:val="16"/>
              </w:rPr>
            </w:pPr>
            <w:r w:rsidRPr="00D34B38">
              <w:rPr>
                <w:sz w:val="16"/>
                <w:szCs w:val="16"/>
              </w:rPr>
              <w:t>10－２プログラム</w:t>
            </w:r>
          </w:p>
          <w:p w:rsidR="00D34B38" w:rsidRPr="00D34B38" w:rsidRDefault="00D34B38" w:rsidP="00D34B38">
            <w:pPr>
              <w:spacing w:line="240" w:lineRule="exact"/>
              <w:jc w:val="center"/>
              <w:rPr>
                <w:rFonts w:hint="default"/>
                <w:sz w:val="16"/>
                <w:szCs w:val="16"/>
              </w:rPr>
            </w:pPr>
            <w:r w:rsidRPr="00D34B38">
              <w:rPr>
                <w:sz w:val="16"/>
                <w:szCs w:val="16"/>
              </w:rPr>
              <w:t>両眼中心視野視認点数</w:t>
            </w:r>
          </w:p>
        </w:tc>
      </w:tr>
      <w:tr w:rsidR="00D34B38" w:rsidRPr="00D34B38" w:rsidTr="00465763">
        <w:tc>
          <w:tcPr>
            <w:tcW w:w="567" w:type="dxa"/>
            <w:vAlign w:val="center"/>
          </w:tcPr>
          <w:p w:rsidR="00D34B38" w:rsidRPr="00D34B38" w:rsidRDefault="00D34B38" w:rsidP="00D34B38">
            <w:pPr>
              <w:jc w:val="center"/>
              <w:rPr>
                <w:rFonts w:hint="default"/>
                <w:sz w:val="16"/>
                <w:szCs w:val="16"/>
              </w:rPr>
            </w:pPr>
            <w:r w:rsidRPr="00D34B38">
              <w:rPr>
                <w:sz w:val="16"/>
                <w:szCs w:val="16"/>
              </w:rPr>
              <w:t>２級</w:t>
            </w:r>
          </w:p>
        </w:tc>
        <w:tc>
          <w:tcPr>
            <w:tcW w:w="2161" w:type="dxa"/>
            <w:vMerge w:val="restart"/>
            <w:vAlign w:val="center"/>
          </w:tcPr>
          <w:p w:rsidR="00D34B38" w:rsidRPr="00D34B38" w:rsidRDefault="00D34B38" w:rsidP="00D34B38">
            <w:pPr>
              <w:spacing w:line="240" w:lineRule="exact"/>
              <w:jc w:val="center"/>
              <w:rPr>
                <w:rFonts w:hint="default"/>
                <w:sz w:val="16"/>
                <w:szCs w:val="16"/>
              </w:rPr>
            </w:pPr>
            <w:r w:rsidRPr="00D34B38">
              <w:rPr>
                <w:sz w:val="16"/>
                <w:szCs w:val="16"/>
              </w:rPr>
              <w:t>周辺視野角度</w:t>
            </w:r>
          </w:p>
          <w:p w:rsidR="00D34B38" w:rsidRPr="00D34B38" w:rsidRDefault="00D34B38" w:rsidP="00D34B38">
            <w:pPr>
              <w:spacing w:line="240" w:lineRule="exact"/>
              <w:jc w:val="center"/>
              <w:rPr>
                <w:rFonts w:hint="default"/>
                <w:sz w:val="16"/>
                <w:szCs w:val="16"/>
              </w:rPr>
            </w:pPr>
            <w:r w:rsidRPr="00D34B38">
              <w:rPr>
                <w:sz w:val="16"/>
                <w:szCs w:val="16"/>
              </w:rPr>
              <w:t>の総和が</w:t>
            </w:r>
          </w:p>
          <w:p w:rsidR="00D34B38" w:rsidRPr="00D34B38" w:rsidRDefault="00D34B38" w:rsidP="00D34B38">
            <w:pPr>
              <w:spacing w:line="240" w:lineRule="exact"/>
              <w:jc w:val="center"/>
              <w:rPr>
                <w:rFonts w:hint="default"/>
                <w:sz w:val="16"/>
                <w:szCs w:val="16"/>
              </w:rPr>
            </w:pPr>
            <w:r w:rsidRPr="00D34B38">
              <w:rPr>
                <w:sz w:val="16"/>
                <w:szCs w:val="16"/>
              </w:rPr>
              <w:t>左右眼それぞれ</w:t>
            </w:r>
          </w:p>
          <w:p w:rsidR="00D34B38" w:rsidRPr="00D34B38" w:rsidRDefault="00D34B38" w:rsidP="00D34B38">
            <w:pPr>
              <w:spacing w:line="240" w:lineRule="exact"/>
              <w:jc w:val="center"/>
              <w:rPr>
                <w:rFonts w:hint="default"/>
                <w:sz w:val="16"/>
                <w:szCs w:val="16"/>
              </w:rPr>
            </w:pPr>
            <w:r w:rsidRPr="00D34B38">
              <w:rPr>
                <w:sz w:val="16"/>
                <w:szCs w:val="16"/>
              </w:rPr>
              <w:t>80度以下</w:t>
            </w:r>
          </w:p>
        </w:tc>
        <w:tc>
          <w:tcPr>
            <w:tcW w:w="2162" w:type="dxa"/>
            <w:vAlign w:val="center"/>
          </w:tcPr>
          <w:p w:rsidR="00D34B38" w:rsidRPr="00D34B38" w:rsidRDefault="00D34B38" w:rsidP="00D34B38">
            <w:pPr>
              <w:spacing w:line="240" w:lineRule="exact"/>
              <w:jc w:val="center"/>
              <w:rPr>
                <w:rFonts w:hint="default"/>
                <w:sz w:val="16"/>
                <w:szCs w:val="16"/>
              </w:rPr>
            </w:pPr>
            <w:r w:rsidRPr="00D34B38">
              <w:rPr>
                <w:sz w:val="16"/>
                <w:szCs w:val="16"/>
              </w:rPr>
              <w:t>両眼中心視野角度</w:t>
            </w:r>
          </w:p>
          <w:p w:rsidR="00D34B38" w:rsidRPr="00D34B38" w:rsidRDefault="00D34B38" w:rsidP="00D34B38">
            <w:pPr>
              <w:spacing w:line="240" w:lineRule="exact"/>
              <w:jc w:val="center"/>
              <w:rPr>
                <w:rFonts w:hint="default"/>
                <w:sz w:val="16"/>
                <w:szCs w:val="16"/>
              </w:rPr>
            </w:pPr>
            <w:r w:rsidRPr="00D34B38">
              <w:rPr>
                <w:sz w:val="16"/>
                <w:szCs w:val="16"/>
              </w:rPr>
              <w:t>28度以下</w:t>
            </w:r>
          </w:p>
        </w:tc>
        <w:tc>
          <w:tcPr>
            <w:tcW w:w="2162" w:type="dxa"/>
            <w:vMerge w:val="restart"/>
            <w:vAlign w:val="center"/>
          </w:tcPr>
          <w:p w:rsidR="00D34B38" w:rsidRPr="00D34B38" w:rsidRDefault="00D34B38" w:rsidP="00D34B38">
            <w:pPr>
              <w:spacing w:line="240" w:lineRule="exact"/>
              <w:jc w:val="center"/>
              <w:rPr>
                <w:rFonts w:hint="default"/>
                <w:sz w:val="16"/>
                <w:szCs w:val="16"/>
              </w:rPr>
            </w:pPr>
            <w:r w:rsidRPr="00D34B38">
              <w:rPr>
                <w:sz w:val="16"/>
                <w:szCs w:val="16"/>
              </w:rPr>
              <w:t>70点以下</w:t>
            </w:r>
          </w:p>
        </w:tc>
        <w:tc>
          <w:tcPr>
            <w:tcW w:w="2162" w:type="dxa"/>
            <w:vAlign w:val="center"/>
          </w:tcPr>
          <w:p w:rsidR="00D34B38" w:rsidRPr="00D34B38" w:rsidRDefault="00D34B38" w:rsidP="00D34B38">
            <w:pPr>
              <w:spacing w:line="240" w:lineRule="exact"/>
              <w:jc w:val="center"/>
              <w:rPr>
                <w:rFonts w:hint="default"/>
                <w:sz w:val="16"/>
                <w:szCs w:val="16"/>
              </w:rPr>
            </w:pPr>
            <w:r w:rsidRPr="00D34B38">
              <w:rPr>
                <w:sz w:val="16"/>
                <w:szCs w:val="16"/>
              </w:rPr>
              <w:t>20点以下</w:t>
            </w:r>
          </w:p>
        </w:tc>
      </w:tr>
      <w:tr w:rsidR="00D34B38" w:rsidRPr="00D34B38" w:rsidTr="00465763">
        <w:tc>
          <w:tcPr>
            <w:tcW w:w="567" w:type="dxa"/>
            <w:vAlign w:val="center"/>
          </w:tcPr>
          <w:p w:rsidR="00D34B38" w:rsidRPr="00D34B38" w:rsidRDefault="00D34B38" w:rsidP="00D34B38">
            <w:pPr>
              <w:jc w:val="center"/>
              <w:rPr>
                <w:rFonts w:hint="default"/>
                <w:sz w:val="16"/>
                <w:szCs w:val="16"/>
              </w:rPr>
            </w:pPr>
            <w:r w:rsidRPr="00D34B38">
              <w:rPr>
                <w:sz w:val="16"/>
                <w:szCs w:val="16"/>
              </w:rPr>
              <w:t>３級</w:t>
            </w:r>
          </w:p>
        </w:tc>
        <w:tc>
          <w:tcPr>
            <w:tcW w:w="2161" w:type="dxa"/>
            <w:vMerge/>
            <w:vAlign w:val="center"/>
          </w:tcPr>
          <w:p w:rsidR="00D34B38" w:rsidRPr="00D34B38" w:rsidRDefault="00D34B38" w:rsidP="00D34B38">
            <w:pPr>
              <w:spacing w:line="240" w:lineRule="exact"/>
              <w:jc w:val="center"/>
              <w:rPr>
                <w:rFonts w:hint="default"/>
                <w:sz w:val="16"/>
                <w:szCs w:val="16"/>
              </w:rPr>
            </w:pPr>
          </w:p>
        </w:tc>
        <w:tc>
          <w:tcPr>
            <w:tcW w:w="2162" w:type="dxa"/>
            <w:tcBorders>
              <w:bottom w:val="single" w:sz="4" w:space="0" w:color="auto"/>
            </w:tcBorders>
            <w:vAlign w:val="center"/>
          </w:tcPr>
          <w:p w:rsidR="00D34B38" w:rsidRPr="00D34B38" w:rsidRDefault="00D34B38" w:rsidP="00D34B38">
            <w:pPr>
              <w:spacing w:line="240" w:lineRule="exact"/>
              <w:jc w:val="center"/>
              <w:rPr>
                <w:rFonts w:hint="default"/>
                <w:sz w:val="16"/>
                <w:szCs w:val="16"/>
              </w:rPr>
            </w:pPr>
            <w:r w:rsidRPr="00D34B38">
              <w:rPr>
                <w:sz w:val="16"/>
                <w:szCs w:val="16"/>
              </w:rPr>
              <w:t>両眼中心視野角度</w:t>
            </w:r>
          </w:p>
          <w:p w:rsidR="00D34B38" w:rsidRPr="00D34B38" w:rsidRDefault="00D34B38" w:rsidP="00D34B38">
            <w:pPr>
              <w:spacing w:line="240" w:lineRule="exact"/>
              <w:jc w:val="center"/>
              <w:rPr>
                <w:rFonts w:hint="default"/>
                <w:sz w:val="16"/>
                <w:szCs w:val="16"/>
              </w:rPr>
            </w:pPr>
            <w:r w:rsidRPr="00D34B38">
              <w:rPr>
                <w:sz w:val="16"/>
                <w:szCs w:val="16"/>
              </w:rPr>
              <w:t>56度以下</w:t>
            </w:r>
          </w:p>
        </w:tc>
        <w:tc>
          <w:tcPr>
            <w:tcW w:w="2162" w:type="dxa"/>
            <w:vMerge/>
            <w:vAlign w:val="center"/>
          </w:tcPr>
          <w:p w:rsidR="00D34B38" w:rsidRPr="00D34B38" w:rsidRDefault="00D34B38" w:rsidP="00D34B38">
            <w:pPr>
              <w:spacing w:line="240" w:lineRule="exact"/>
              <w:jc w:val="center"/>
              <w:rPr>
                <w:rFonts w:hint="default"/>
                <w:sz w:val="16"/>
                <w:szCs w:val="16"/>
              </w:rPr>
            </w:pPr>
          </w:p>
        </w:tc>
        <w:tc>
          <w:tcPr>
            <w:tcW w:w="2162" w:type="dxa"/>
            <w:tcBorders>
              <w:bottom w:val="single" w:sz="4" w:space="0" w:color="auto"/>
            </w:tcBorders>
            <w:vAlign w:val="center"/>
          </w:tcPr>
          <w:p w:rsidR="00D34B38" w:rsidRPr="00D34B38" w:rsidRDefault="00D34B38" w:rsidP="00D34B38">
            <w:pPr>
              <w:spacing w:line="240" w:lineRule="exact"/>
              <w:jc w:val="center"/>
              <w:rPr>
                <w:rFonts w:hint="default"/>
                <w:sz w:val="16"/>
                <w:szCs w:val="16"/>
              </w:rPr>
            </w:pPr>
            <w:r w:rsidRPr="00D34B38">
              <w:rPr>
                <w:sz w:val="16"/>
                <w:szCs w:val="16"/>
              </w:rPr>
              <w:t>40点以下</w:t>
            </w:r>
          </w:p>
        </w:tc>
      </w:tr>
      <w:tr w:rsidR="00D34B38" w:rsidRPr="00D34B38" w:rsidTr="00465763">
        <w:tc>
          <w:tcPr>
            <w:tcW w:w="567" w:type="dxa"/>
            <w:vAlign w:val="center"/>
          </w:tcPr>
          <w:p w:rsidR="00D34B38" w:rsidRPr="00D34B38" w:rsidRDefault="00D34B38" w:rsidP="00D34B38">
            <w:pPr>
              <w:jc w:val="center"/>
              <w:rPr>
                <w:rFonts w:hint="default"/>
                <w:sz w:val="16"/>
                <w:szCs w:val="16"/>
              </w:rPr>
            </w:pPr>
            <w:r w:rsidRPr="00D34B38">
              <w:rPr>
                <w:sz w:val="16"/>
                <w:szCs w:val="16"/>
              </w:rPr>
              <w:t>４級</w:t>
            </w:r>
          </w:p>
        </w:tc>
        <w:tc>
          <w:tcPr>
            <w:tcW w:w="2161" w:type="dxa"/>
            <w:vMerge/>
            <w:vAlign w:val="center"/>
          </w:tcPr>
          <w:p w:rsidR="00D34B38" w:rsidRPr="00D34B38" w:rsidRDefault="00D34B38" w:rsidP="00D34B38">
            <w:pPr>
              <w:spacing w:line="240" w:lineRule="exact"/>
              <w:jc w:val="center"/>
              <w:rPr>
                <w:rFonts w:hint="default"/>
                <w:sz w:val="16"/>
                <w:szCs w:val="16"/>
              </w:rPr>
            </w:pPr>
          </w:p>
        </w:tc>
        <w:tc>
          <w:tcPr>
            <w:tcW w:w="2162" w:type="dxa"/>
            <w:tcBorders>
              <w:bottom w:val="single" w:sz="4" w:space="0" w:color="auto"/>
              <w:tl2br w:val="single" w:sz="4" w:space="0" w:color="auto"/>
              <w:tr2bl w:val="single" w:sz="4" w:space="0" w:color="auto"/>
            </w:tcBorders>
            <w:vAlign w:val="center"/>
          </w:tcPr>
          <w:p w:rsidR="00D34B38" w:rsidRPr="00D34B38" w:rsidRDefault="00D34B38" w:rsidP="00D34B38">
            <w:pPr>
              <w:spacing w:line="240" w:lineRule="exact"/>
              <w:jc w:val="center"/>
              <w:rPr>
                <w:rFonts w:hint="default"/>
                <w:sz w:val="16"/>
                <w:szCs w:val="16"/>
              </w:rPr>
            </w:pPr>
          </w:p>
        </w:tc>
        <w:tc>
          <w:tcPr>
            <w:tcW w:w="2162" w:type="dxa"/>
            <w:vMerge/>
            <w:vAlign w:val="center"/>
          </w:tcPr>
          <w:p w:rsidR="00D34B38" w:rsidRPr="00D34B38" w:rsidRDefault="00D34B38" w:rsidP="00D34B38">
            <w:pPr>
              <w:spacing w:line="240" w:lineRule="exact"/>
              <w:jc w:val="center"/>
              <w:rPr>
                <w:rFonts w:hint="default"/>
                <w:sz w:val="16"/>
                <w:szCs w:val="16"/>
              </w:rPr>
            </w:pPr>
          </w:p>
        </w:tc>
        <w:tc>
          <w:tcPr>
            <w:tcW w:w="2162" w:type="dxa"/>
            <w:tcBorders>
              <w:tl2br w:val="single" w:sz="4" w:space="0" w:color="auto"/>
              <w:tr2bl w:val="single" w:sz="4" w:space="0" w:color="auto"/>
            </w:tcBorders>
            <w:vAlign w:val="center"/>
          </w:tcPr>
          <w:p w:rsidR="00D34B38" w:rsidRPr="00D34B38" w:rsidRDefault="00D34B38" w:rsidP="00D34B38">
            <w:pPr>
              <w:spacing w:line="240" w:lineRule="exact"/>
              <w:jc w:val="center"/>
              <w:rPr>
                <w:rFonts w:hint="default"/>
                <w:sz w:val="16"/>
                <w:szCs w:val="16"/>
              </w:rPr>
            </w:pPr>
          </w:p>
        </w:tc>
      </w:tr>
      <w:tr w:rsidR="00D34B38" w:rsidRPr="00D34B38" w:rsidTr="00465763">
        <w:trPr>
          <w:trHeight w:val="374"/>
        </w:trPr>
        <w:tc>
          <w:tcPr>
            <w:tcW w:w="567" w:type="dxa"/>
            <w:vMerge w:val="restart"/>
            <w:vAlign w:val="center"/>
          </w:tcPr>
          <w:p w:rsidR="00D34B38" w:rsidRPr="00D34B38" w:rsidRDefault="00D34B38" w:rsidP="00D34B38">
            <w:pPr>
              <w:jc w:val="center"/>
              <w:rPr>
                <w:rFonts w:hint="default"/>
                <w:sz w:val="16"/>
                <w:szCs w:val="16"/>
              </w:rPr>
            </w:pPr>
            <w:r w:rsidRPr="00D34B38">
              <w:rPr>
                <w:sz w:val="16"/>
                <w:szCs w:val="16"/>
              </w:rPr>
              <w:t>５級</w:t>
            </w:r>
          </w:p>
        </w:tc>
        <w:tc>
          <w:tcPr>
            <w:tcW w:w="2161" w:type="dxa"/>
            <w:tcBorders>
              <w:bottom w:val="single" w:sz="4" w:space="0" w:color="auto"/>
            </w:tcBorders>
            <w:vAlign w:val="center"/>
          </w:tcPr>
          <w:p w:rsidR="00D34B38" w:rsidRPr="00D34B38" w:rsidRDefault="00D34B38" w:rsidP="00D34B38">
            <w:pPr>
              <w:spacing w:line="240" w:lineRule="exact"/>
              <w:jc w:val="center"/>
              <w:rPr>
                <w:rFonts w:hint="default"/>
                <w:sz w:val="16"/>
                <w:szCs w:val="16"/>
              </w:rPr>
            </w:pPr>
            <w:r w:rsidRPr="00D34B38">
              <w:rPr>
                <w:sz w:val="16"/>
                <w:szCs w:val="16"/>
              </w:rPr>
              <w:t>両眼による視野が</w:t>
            </w:r>
          </w:p>
          <w:p w:rsidR="00D34B38" w:rsidRPr="00D34B38" w:rsidRDefault="00D34B38" w:rsidP="00D34B38">
            <w:pPr>
              <w:spacing w:line="240" w:lineRule="exact"/>
              <w:jc w:val="center"/>
              <w:rPr>
                <w:rFonts w:hint="default"/>
                <w:sz w:val="16"/>
                <w:szCs w:val="16"/>
              </w:rPr>
            </w:pPr>
            <w:r w:rsidRPr="00D34B38">
              <w:rPr>
                <w:sz w:val="16"/>
                <w:szCs w:val="16"/>
              </w:rPr>
              <w:t>２分の１以上欠損</w:t>
            </w:r>
          </w:p>
        </w:tc>
        <w:tc>
          <w:tcPr>
            <w:tcW w:w="2162" w:type="dxa"/>
            <w:tcBorders>
              <w:top w:val="single" w:sz="4" w:space="0" w:color="auto"/>
              <w:tl2br w:val="single" w:sz="4" w:space="0" w:color="auto"/>
              <w:tr2bl w:val="single" w:sz="4" w:space="0" w:color="auto"/>
            </w:tcBorders>
            <w:vAlign w:val="center"/>
          </w:tcPr>
          <w:p w:rsidR="00D34B38" w:rsidRPr="00D34B38" w:rsidRDefault="00D34B38" w:rsidP="00D34B38">
            <w:pPr>
              <w:spacing w:line="240" w:lineRule="exact"/>
              <w:jc w:val="center"/>
              <w:rPr>
                <w:rFonts w:hint="default"/>
                <w:sz w:val="16"/>
                <w:szCs w:val="16"/>
              </w:rPr>
            </w:pPr>
          </w:p>
        </w:tc>
        <w:tc>
          <w:tcPr>
            <w:tcW w:w="2162" w:type="dxa"/>
            <w:tcBorders>
              <w:bottom w:val="single" w:sz="4" w:space="0" w:color="auto"/>
            </w:tcBorders>
            <w:vAlign w:val="center"/>
          </w:tcPr>
          <w:p w:rsidR="00D34B38" w:rsidRPr="00D34B38" w:rsidRDefault="00D34B38" w:rsidP="00D34B38">
            <w:pPr>
              <w:spacing w:line="240" w:lineRule="exact"/>
              <w:jc w:val="center"/>
              <w:rPr>
                <w:rFonts w:hint="default"/>
                <w:sz w:val="16"/>
                <w:szCs w:val="16"/>
              </w:rPr>
            </w:pPr>
            <w:r w:rsidRPr="00D34B38">
              <w:rPr>
                <w:sz w:val="16"/>
                <w:szCs w:val="16"/>
              </w:rPr>
              <w:t>100点以下</w:t>
            </w:r>
          </w:p>
        </w:tc>
        <w:tc>
          <w:tcPr>
            <w:tcW w:w="2162" w:type="dxa"/>
            <w:tcBorders>
              <w:tl2br w:val="single" w:sz="4" w:space="0" w:color="auto"/>
              <w:tr2bl w:val="single" w:sz="4" w:space="0" w:color="auto"/>
            </w:tcBorders>
            <w:vAlign w:val="center"/>
          </w:tcPr>
          <w:p w:rsidR="00D34B38" w:rsidRPr="00D34B38" w:rsidRDefault="00D34B38" w:rsidP="00D34B38">
            <w:pPr>
              <w:spacing w:line="240" w:lineRule="exact"/>
              <w:jc w:val="center"/>
              <w:rPr>
                <w:rFonts w:hint="default"/>
                <w:sz w:val="16"/>
                <w:szCs w:val="16"/>
              </w:rPr>
            </w:pPr>
          </w:p>
        </w:tc>
      </w:tr>
      <w:tr w:rsidR="00D34B38" w:rsidRPr="00D34B38" w:rsidTr="00465763">
        <w:trPr>
          <w:trHeight w:val="412"/>
        </w:trPr>
        <w:tc>
          <w:tcPr>
            <w:tcW w:w="567" w:type="dxa"/>
            <w:vMerge/>
          </w:tcPr>
          <w:p w:rsidR="00D34B38" w:rsidRPr="00D34B38" w:rsidRDefault="00D34B38" w:rsidP="00D34B38">
            <w:pPr>
              <w:jc w:val="center"/>
              <w:rPr>
                <w:rFonts w:hint="default"/>
              </w:rPr>
            </w:pPr>
          </w:p>
        </w:tc>
        <w:tc>
          <w:tcPr>
            <w:tcW w:w="2161" w:type="dxa"/>
            <w:tcBorders>
              <w:tl2br w:val="single" w:sz="4" w:space="0" w:color="auto"/>
              <w:tr2bl w:val="single" w:sz="4" w:space="0" w:color="auto"/>
            </w:tcBorders>
            <w:vAlign w:val="center"/>
          </w:tcPr>
          <w:p w:rsidR="00D34B38" w:rsidRPr="00D34B38" w:rsidRDefault="00D34B38" w:rsidP="00D34B38">
            <w:pPr>
              <w:spacing w:line="240" w:lineRule="exact"/>
              <w:jc w:val="center"/>
              <w:rPr>
                <w:rFonts w:hint="default"/>
                <w:sz w:val="16"/>
                <w:szCs w:val="16"/>
              </w:rPr>
            </w:pPr>
          </w:p>
        </w:tc>
        <w:tc>
          <w:tcPr>
            <w:tcW w:w="2162" w:type="dxa"/>
            <w:vAlign w:val="center"/>
          </w:tcPr>
          <w:p w:rsidR="00D34B38" w:rsidRPr="00D34B38" w:rsidRDefault="00D34B38" w:rsidP="00D34B38">
            <w:pPr>
              <w:spacing w:line="240" w:lineRule="exact"/>
              <w:jc w:val="center"/>
              <w:rPr>
                <w:rFonts w:hint="default"/>
                <w:sz w:val="16"/>
                <w:szCs w:val="16"/>
              </w:rPr>
            </w:pPr>
            <w:r w:rsidRPr="00D34B38">
              <w:rPr>
                <w:sz w:val="16"/>
                <w:szCs w:val="16"/>
              </w:rPr>
              <w:t>両眼中心視野角度</w:t>
            </w:r>
          </w:p>
          <w:p w:rsidR="00D34B38" w:rsidRPr="00D34B38" w:rsidRDefault="00D34B38" w:rsidP="00D34B38">
            <w:pPr>
              <w:spacing w:line="240" w:lineRule="exact"/>
              <w:jc w:val="center"/>
              <w:rPr>
                <w:rFonts w:hint="default"/>
                <w:sz w:val="16"/>
                <w:szCs w:val="16"/>
              </w:rPr>
            </w:pPr>
            <w:r w:rsidRPr="00D34B38">
              <w:rPr>
                <w:sz w:val="16"/>
                <w:szCs w:val="16"/>
              </w:rPr>
              <w:t>56度以下</w:t>
            </w:r>
          </w:p>
        </w:tc>
        <w:tc>
          <w:tcPr>
            <w:tcW w:w="2162" w:type="dxa"/>
            <w:tcBorders>
              <w:tl2br w:val="single" w:sz="4" w:space="0" w:color="auto"/>
              <w:tr2bl w:val="single" w:sz="4" w:space="0" w:color="auto"/>
            </w:tcBorders>
            <w:vAlign w:val="center"/>
          </w:tcPr>
          <w:p w:rsidR="00D34B38" w:rsidRPr="00D34B38" w:rsidRDefault="00D34B38" w:rsidP="00D34B38">
            <w:pPr>
              <w:spacing w:line="240" w:lineRule="exact"/>
              <w:jc w:val="center"/>
              <w:rPr>
                <w:rFonts w:hint="default"/>
                <w:sz w:val="16"/>
                <w:szCs w:val="16"/>
              </w:rPr>
            </w:pPr>
          </w:p>
        </w:tc>
        <w:tc>
          <w:tcPr>
            <w:tcW w:w="2162" w:type="dxa"/>
            <w:vAlign w:val="center"/>
          </w:tcPr>
          <w:p w:rsidR="00D34B38" w:rsidRPr="00D34B38" w:rsidRDefault="00D34B38" w:rsidP="00D34B38">
            <w:pPr>
              <w:spacing w:line="240" w:lineRule="exact"/>
              <w:jc w:val="center"/>
              <w:rPr>
                <w:rFonts w:hint="default"/>
                <w:sz w:val="16"/>
                <w:szCs w:val="16"/>
              </w:rPr>
            </w:pPr>
            <w:r w:rsidRPr="00D34B38">
              <w:rPr>
                <w:sz w:val="16"/>
                <w:szCs w:val="16"/>
              </w:rPr>
              <w:t>40点以下</w:t>
            </w:r>
          </w:p>
        </w:tc>
      </w:tr>
    </w:tbl>
    <w:p w:rsidR="00162978" w:rsidRPr="00D34B38" w:rsidRDefault="00162978" w:rsidP="00D34B38">
      <w:pPr>
        <w:rPr>
          <w:rFonts w:hint="default"/>
        </w:rPr>
      </w:pPr>
    </w:p>
    <w:sectPr w:rsidR="00162978" w:rsidRPr="00D34B38" w:rsidSect="00D34B38">
      <w:pgSz w:w="11906" w:h="16838"/>
      <w:pgMar w:top="184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3511"/>
    <w:rsid w:val="0044668F"/>
    <w:rsid w:val="00447288"/>
    <w:rsid w:val="0045465F"/>
    <w:rsid w:val="004577BC"/>
    <w:rsid w:val="004608A7"/>
    <w:rsid w:val="00466EEE"/>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1B1"/>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6F50"/>
    <w:rsid w:val="00B8707F"/>
    <w:rsid w:val="00B94B99"/>
    <w:rsid w:val="00B956C0"/>
    <w:rsid w:val="00BA1F94"/>
    <w:rsid w:val="00BB13EE"/>
    <w:rsid w:val="00BC302D"/>
    <w:rsid w:val="00BC30E1"/>
    <w:rsid w:val="00BC32B8"/>
    <w:rsid w:val="00BD2039"/>
    <w:rsid w:val="00BD7DA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4B3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DCFF7F7-6AE9-4339-80EA-F750EC4E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B3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6</cp:revision>
  <cp:lastPrinted>2016-03-29T09:48:00Z</cp:lastPrinted>
  <dcterms:created xsi:type="dcterms:W3CDTF">2016-03-29T09:44:00Z</dcterms:created>
  <dcterms:modified xsi:type="dcterms:W3CDTF">2019-09-14T01:11:00Z</dcterms:modified>
</cp:coreProperties>
</file>