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277" w:rsidRPr="004A4277" w:rsidRDefault="004A4277" w:rsidP="004A4277">
      <w:pPr>
        <w:autoSpaceDE w:val="0"/>
        <w:autoSpaceDN w:val="0"/>
        <w:adjustRightInd w:val="0"/>
        <w:jc w:val="left"/>
        <w:rPr>
          <w:rFonts w:ascii="ＭＳ ゴシック" w:eastAsia="ＭＳ ゴシック" w:hAnsi="ＭＳ ゴシック" w:cs="CIDFont+F1"/>
          <w:kern w:val="0"/>
          <w:sz w:val="24"/>
          <w:szCs w:val="24"/>
        </w:rPr>
      </w:pPr>
      <w:r w:rsidRPr="004A4277">
        <w:rPr>
          <w:rFonts w:ascii="ＭＳ ゴシック" w:eastAsia="ＭＳ ゴシック" w:hAnsi="ＭＳ ゴシック" w:cs="CIDFont+F1" w:hint="eastAsia"/>
          <w:kern w:val="0"/>
          <w:sz w:val="24"/>
          <w:szCs w:val="24"/>
        </w:rPr>
        <w:t>許可基準</w:t>
      </w:r>
    </w:p>
    <w:p w:rsidR="004A4277" w:rsidRPr="004A4277" w:rsidRDefault="004A4277" w:rsidP="004A4277">
      <w:pPr>
        <w:autoSpaceDE w:val="0"/>
        <w:autoSpaceDN w:val="0"/>
        <w:adjustRightInd w:val="0"/>
        <w:jc w:val="left"/>
        <w:rPr>
          <w:rFonts w:ascii="ＭＳ 明朝" w:eastAsia="ＭＳ 明朝" w:hAnsi="ＭＳ 明朝" w:cs="CIDFont+F1"/>
          <w:kern w:val="0"/>
          <w:sz w:val="24"/>
          <w:szCs w:val="24"/>
        </w:rPr>
      </w:pPr>
    </w:p>
    <w:p w:rsidR="004A4277" w:rsidRPr="004A4277" w:rsidRDefault="004A4277" w:rsidP="004A4277">
      <w:pPr>
        <w:autoSpaceDE w:val="0"/>
        <w:autoSpaceDN w:val="0"/>
        <w:adjustRightInd w:val="0"/>
        <w:jc w:val="left"/>
        <w:rPr>
          <w:rFonts w:ascii="ＭＳ ゴシック" w:eastAsia="ＭＳ ゴシック" w:hAnsi="ＭＳ ゴシック" w:cs="CIDFont+F2"/>
          <w:kern w:val="0"/>
          <w:szCs w:val="21"/>
        </w:rPr>
      </w:pPr>
      <w:r w:rsidRPr="004A4277">
        <w:rPr>
          <w:rFonts w:ascii="ＭＳ ゴシック" w:eastAsia="ＭＳ ゴシック" w:hAnsi="ＭＳ ゴシック" w:cs="CIDFont+F2" w:hint="eastAsia"/>
          <w:kern w:val="0"/>
          <w:szCs w:val="21"/>
        </w:rPr>
        <w:t>●医薬品、医療機器等の品質、有効性及び安全性の確保等に関する法律抜粋</w:t>
      </w:r>
    </w:p>
    <w:p w:rsidR="004A4277" w:rsidRPr="004A4277" w:rsidRDefault="004A4277" w:rsidP="004A4277">
      <w:pPr>
        <w:autoSpaceDE w:val="0"/>
        <w:autoSpaceDN w:val="0"/>
        <w:adjustRightInd w:val="0"/>
        <w:jc w:val="left"/>
        <w:rPr>
          <w:rFonts w:ascii="ＭＳ ゴシック" w:eastAsia="ＭＳ ゴシック" w:hAnsi="ＭＳ ゴシック" w:cs="CIDFont+F3"/>
          <w:kern w:val="0"/>
          <w:szCs w:val="21"/>
        </w:rPr>
      </w:pPr>
      <w:r w:rsidRPr="004A4277">
        <w:rPr>
          <w:rFonts w:ascii="ＭＳ ゴシック" w:eastAsia="ＭＳ ゴシック" w:hAnsi="ＭＳ ゴシック" w:cs="CIDFont+F3" w:hint="eastAsia"/>
          <w:kern w:val="0"/>
          <w:szCs w:val="21"/>
        </w:rPr>
        <w:t>（許可の基準）</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第五条</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次の各号のいずれかに該当するときは、前条第一項の許可を与えないことができる。</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一～二（略）</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三</w:t>
      </w:r>
      <w:r w:rsidRPr="004A4277">
        <w:rPr>
          <w:rFonts w:ascii="ＭＳ 明朝" w:eastAsia="ＭＳ 明朝" w:hAnsi="ＭＳ 明朝" w:cs="CIDFont+F3"/>
          <w:kern w:val="0"/>
          <w:szCs w:val="21"/>
        </w:rPr>
        <w:t xml:space="preserve"> </w:t>
      </w:r>
      <w:r w:rsidRPr="004A4277">
        <w:rPr>
          <w:rFonts w:ascii="ＭＳ 明朝" w:eastAsia="ＭＳ 明朝" w:hAnsi="ＭＳ 明朝" w:cs="ＭＳ明朝" w:hint="eastAsia"/>
          <w:kern w:val="0"/>
          <w:szCs w:val="21"/>
        </w:rPr>
        <w:t>申請者（申請者が法人であるときは、薬事に関する業務に責任を有する役員を含む。第六条の四第一項、第十九条の二第二項、第二十三条の二の十七第二項及び第二十三条の三十七第二項において同じ。）が、次のイからトまでのいずれかに該当するとき。</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イ</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第七十五条第一項の規定により許可を取り消され、取消しの日から三年を経過していない者</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ロ</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第七十五条の二第一項の規定により登録を取り消され、取消しの日から三年を経過していない者</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ハ</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禁錮以上の刑に処せられ、その執行を終わり、又は執行を受けることがなくなつた後、三年を経過していない者</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ニ</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イからハまでに該当する者を除くほか、この法律、麻薬及び向精神薬取締法、毒物及び劇物取締法（昭和二十五年法律第三百三号）その他薬事に関する法令で政令で定めるもの又はこれに基づく処分に違反し、その違反行為があつた日から二年を経過していない者</w:t>
      </w:r>
    </w:p>
    <w:p w:rsidR="004A4277" w:rsidRP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ホ</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麻薬、大麻、あへん又は覚</w:t>
      </w:r>
      <w:r w:rsidR="00FE50B3">
        <w:rPr>
          <w:rFonts w:ascii="ＭＳ 明朝" w:eastAsia="ＭＳ 明朝" w:hAnsi="ＭＳ 明朝" w:cs="CIDFont+F3" w:hint="eastAsia"/>
          <w:kern w:val="0"/>
          <w:szCs w:val="21"/>
        </w:rPr>
        <w:t>せい</w:t>
      </w:r>
      <w:r w:rsidRPr="004A4277">
        <w:rPr>
          <w:rFonts w:ascii="ＭＳ 明朝" w:eastAsia="ＭＳ 明朝" w:hAnsi="ＭＳ 明朝" w:cs="CIDFont+F3" w:hint="eastAsia"/>
          <w:kern w:val="0"/>
          <w:szCs w:val="21"/>
        </w:rPr>
        <w:t>剤の中毒者</w:t>
      </w:r>
    </w:p>
    <w:p w:rsidR="004A4277" w:rsidRDefault="004A4277" w:rsidP="004A4277">
      <w:pPr>
        <w:autoSpaceDE w:val="0"/>
        <w:autoSpaceDN w:val="0"/>
        <w:adjustRightInd w:val="0"/>
        <w:jc w:val="left"/>
        <w:rPr>
          <w:rFonts w:ascii="ＭＳ 明朝" w:eastAsia="ＭＳ 明朝" w:hAnsi="ＭＳ 明朝" w:cs="CIDFont+F3"/>
          <w:kern w:val="0"/>
          <w:szCs w:val="21"/>
        </w:rPr>
      </w:pPr>
      <w:r w:rsidRPr="004A4277">
        <w:rPr>
          <w:rFonts w:ascii="ＭＳ 明朝" w:eastAsia="ＭＳ 明朝" w:hAnsi="ＭＳ 明朝" w:cs="CIDFont+F3" w:hint="eastAsia"/>
          <w:kern w:val="0"/>
          <w:szCs w:val="21"/>
        </w:rPr>
        <w:t>ヘ</w:t>
      </w:r>
      <w:r w:rsidRPr="004A4277">
        <w:rPr>
          <w:rFonts w:ascii="ＭＳ 明朝" w:eastAsia="ＭＳ 明朝" w:hAnsi="ＭＳ 明朝" w:cs="CIDFont+F3"/>
          <w:kern w:val="0"/>
          <w:szCs w:val="21"/>
        </w:rPr>
        <w:t xml:space="preserve"> </w:t>
      </w:r>
      <w:r w:rsidRPr="004A4277">
        <w:rPr>
          <w:rFonts w:ascii="ＭＳ 明朝" w:eastAsia="ＭＳ 明朝" w:hAnsi="ＭＳ 明朝" w:cs="CIDFont+F3" w:hint="eastAsia"/>
          <w:kern w:val="0"/>
          <w:szCs w:val="21"/>
        </w:rPr>
        <w:t>心身の障害により薬局開設者の業務を適正に行うことができない者として厚生労働省令で定めるもの</w:t>
      </w:r>
    </w:p>
    <w:p w:rsidR="004A4277" w:rsidRDefault="004A4277" w:rsidP="004A4277">
      <w:pPr>
        <w:autoSpaceDE w:val="0"/>
        <w:autoSpaceDN w:val="0"/>
        <w:adjustRightInd w:val="0"/>
        <w:jc w:val="left"/>
        <w:rPr>
          <w:rFonts w:ascii="ＭＳ 明朝" w:eastAsia="ＭＳ 明朝" w:hAnsi="ＭＳ 明朝" w:cs="ＭＳ明朝"/>
          <w:kern w:val="0"/>
          <w:szCs w:val="21"/>
        </w:rPr>
      </w:pPr>
      <w:r w:rsidRPr="00FE50B3">
        <w:rPr>
          <w:rFonts w:ascii="ＭＳ 明朝" w:eastAsia="ＭＳ 明朝" w:hAnsi="ＭＳ 明朝" w:cs="ＭＳ明朝" w:hint="eastAsia"/>
          <w:kern w:val="0"/>
          <w:szCs w:val="21"/>
        </w:rPr>
        <w:t>ト</w:t>
      </w:r>
      <w:r w:rsidR="00FE50B3">
        <w:rPr>
          <w:rFonts w:ascii="ＭＳ 明朝" w:eastAsia="ＭＳ 明朝" w:hAnsi="ＭＳ 明朝" w:cs="ＭＳ明朝" w:hint="eastAsia"/>
          <w:kern w:val="0"/>
          <w:szCs w:val="21"/>
        </w:rPr>
        <w:t xml:space="preserve"> </w:t>
      </w:r>
      <w:r w:rsidRPr="00FE50B3">
        <w:rPr>
          <w:rFonts w:ascii="ＭＳ 明朝" w:eastAsia="ＭＳ 明朝" w:hAnsi="ＭＳ 明朝" w:cs="ＭＳ明朝" w:hint="eastAsia"/>
          <w:kern w:val="0"/>
          <w:szCs w:val="21"/>
        </w:rPr>
        <w:t>薬局開設者の業務を適切に行うことができる知識及び経験を有すると認められない者</w:t>
      </w:r>
    </w:p>
    <w:p w:rsidR="00414670" w:rsidRPr="00414670" w:rsidRDefault="00414670" w:rsidP="004A4277">
      <w:pPr>
        <w:autoSpaceDE w:val="0"/>
        <w:autoSpaceDN w:val="0"/>
        <w:adjustRightInd w:val="0"/>
        <w:jc w:val="left"/>
        <w:rPr>
          <w:rFonts w:ascii="ＭＳ ゴシック" w:eastAsia="ＭＳ ゴシック" w:hAnsi="ＭＳ ゴシック" w:cs="CIDFont+F3"/>
          <w:kern w:val="0"/>
          <w:szCs w:val="21"/>
        </w:rPr>
      </w:pPr>
      <w:r w:rsidRPr="00414670">
        <w:rPr>
          <w:rFonts w:ascii="ＭＳ ゴシック" w:eastAsia="ＭＳ ゴシック" w:hAnsi="ＭＳ ゴシック" w:cs="CIDFont+F3" w:hint="eastAsia"/>
          <w:kern w:val="0"/>
          <w:szCs w:val="21"/>
        </w:rPr>
        <w:t>（高度管理医療機器等の販売業及び貸与業の許可）</w:t>
      </w:r>
    </w:p>
    <w:p w:rsidR="00414670" w:rsidRPr="00414670" w:rsidRDefault="00414670" w:rsidP="00414670">
      <w:pPr>
        <w:autoSpaceDE w:val="0"/>
        <w:autoSpaceDN w:val="0"/>
        <w:adjustRightInd w:val="0"/>
        <w:jc w:val="left"/>
        <w:rPr>
          <w:rFonts w:ascii="ＭＳ 明朝" w:eastAsia="ＭＳ 明朝" w:hAnsi="ＭＳ 明朝" w:cs="CIDFont+F3"/>
          <w:kern w:val="0"/>
          <w:szCs w:val="21"/>
        </w:rPr>
      </w:pPr>
      <w:r w:rsidRPr="00414670">
        <w:rPr>
          <w:rFonts w:ascii="ＭＳ 明朝" w:eastAsia="ＭＳ 明朝" w:hAnsi="ＭＳ 明朝" w:cs="CIDFont+F3" w:hint="eastAsia"/>
          <w:kern w:val="0"/>
          <w:szCs w:val="21"/>
        </w:rPr>
        <w:t>第三十九条　高度管理医療機器又は特定保守管理医療機器（以下「高度管理医療機器等」という。）の販売業又は貸与業の許可を受けた者でなければ、それぞれ、業として、高度管理医療機器等を販売し、授与し、若しくは貸与し、若しくは販売、授与若しくは貸与の目的で陳列し、又は高度管理医療機器プログラム（高度管理医療機器のうちプログラムであるものをいう。以下この項において同じ。）を電気通信回線を通じて提供してはならない。ただし、高度管理医療機器等の製造販売業者がその製造等をし、又は輸入をした高度管理医療機器等を高度管理医療機器等の製造販売業者、製造業者、販売業者又は貸与業者に、高度管理医療機器等の製造業者がその製造した高度管理医療機器等を高度管理医療機器等の製造販売業者又は製造業者に、それぞれ販売し、授与し、若しくは貸与し、若しくは販売、授与若しくは貸与の目的で陳列し、又は高度管理医療機器プログラムを電気通信回線を通じて提供すると</w:t>
      </w:r>
      <w:r>
        <w:rPr>
          <w:rFonts w:ascii="ＭＳ 明朝" w:eastAsia="ＭＳ 明朝" w:hAnsi="ＭＳ 明朝" w:cs="CIDFont+F3" w:hint="eastAsia"/>
          <w:kern w:val="0"/>
          <w:szCs w:val="21"/>
        </w:rPr>
        <w:t>き</w:t>
      </w:r>
      <w:r w:rsidRPr="00414670">
        <w:rPr>
          <w:rFonts w:ascii="ＭＳ 明朝" w:eastAsia="ＭＳ 明朝" w:hAnsi="ＭＳ 明朝" w:cs="CIDFont+F3" w:hint="eastAsia"/>
          <w:kern w:val="0"/>
          <w:szCs w:val="21"/>
        </w:rPr>
        <w:t>は、この限りでない。</w:t>
      </w:r>
    </w:p>
    <w:p w:rsidR="00414670" w:rsidRPr="00414670" w:rsidRDefault="00414670" w:rsidP="00414670">
      <w:pPr>
        <w:autoSpaceDE w:val="0"/>
        <w:autoSpaceDN w:val="0"/>
        <w:adjustRightInd w:val="0"/>
        <w:jc w:val="left"/>
        <w:rPr>
          <w:rFonts w:ascii="ＭＳ 明朝" w:eastAsia="ＭＳ 明朝" w:hAnsi="ＭＳ 明朝" w:cs="CIDFont+F3"/>
          <w:kern w:val="0"/>
          <w:szCs w:val="21"/>
        </w:rPr>
      </w:pPr>
      <w:r w:rsidRPr="00414670">
        <w:rPr>
          <w:rFonts w:ascii="ＭＳ 明朝" w:eastAsia="ＭＳ 明朝" w:hAnsi="ＭＳ 明朝" w:cs="CIDFont+F3" w:hint="eastAsia"/>
          <w:kern w:val="0"/>
          <w:szCs w:val="21"/>
        </w:rPr>
        <w:t>２　前項の許可は、営業所ごとに、その営業所の所在地の都道府県知事（その営業所の所在地が保健所を設置する市又は特別区の区域にある場合においては、市長又は区長。次項、次条第二項及び第三十九条の三第一項において同じ。）が与える。</w:t>
      </w:r>
    </w:p>
    <w:p w:rsidR="00414670" w:rsidRPr="00414670" w:rsidRDefault="00414670" w:rsidP="00414670">
      <w:pPr>
        <w:autoSpaceDE w:val="0"/>
        <w:autoSpaceDN w:val="0"/>
        <w:adjustRightInd w:val="0"/>
        <w:jc w:val="left"/>
        <w:rPr>
          <w:rFonts w:ascii="ＭＳ 明朝" w:eastAsia="ＭＳ 明朝" w:hAnsi="ＭＳ 明朝" w:cs="CIDFont+F3"/>
          <w:kern w:val="0"/>
          <w:szCs w:val="21"/>
        </w:rPr>
      </w:pPr>
      <w:r w:rsidRPr="00414670">
        <w:rPr>
          <w:rFonts w:ascii="ＭＳ 明朝" w:eastAsia="ＭＳ 明朝" w:hAnsi="ＭＳ 明朝" w:cs="CIDFont+F3" w:hint="eastAsia"/>
          <w:kern w:val="0"/>
          <w:szCs w:val="21"/>
        </w:rPr>
        <w:t>３</w:t>
      </w:r>
      <w:r>
        <w:rPr>
          <w:rFonts w:ascii="ＭＳ 明朝" w:eastAsia="ＭＳ 明朝" w:hAnsi="ＭＳ 明朝" w:cs="CIDFont+F3" w:hint="eastAsia"/>
          <w:kern w:val="0"/>
          <w:szCs w:val="21"/>
        </w:rPr>
        <w:t>（略）</w:t>
      </w:r>
    </w:p>
    <w:p w:rsidR="00414670" w:rsidRPr="00414670" w:rsidRDefault="00414670" w:rsidP="00414670">
      <w:pPr>
        <w:autoSpaceDE w:val="0"/>
        <w:autoSpaceDN w:val="0"/>
        <w:adjustRightInd w:val="0"/>
        <w:jc w:val="left"/>
        <w:rPr>
          <w:rFonts w:ascii="ＭＳ 明朝" w:eastAsia="ＭＳ 明朝" w:hAnsi="ＭＳ 明朝" w:cs="CIDFont+F3"/>
          <w:kern w:val="0"/>
          <w:szCs w:val="21"/>
        </w:rPr>
      </w:pPr>
      <w:r w:rsidRPr="00414670">
        <w:rPr>
          <w:rFonts w:ascii="ＭＳ 明朝" w:eastAsia="ＭＳ 明朝" w:hAnsi="ＭＳ 明朝" w:cs="CIDFont+F3" w:hint="eastAsia"/>
          <w:kern w:val="0"/>
          <w:szCs w:val="21"/>
        </w:rPr>
        <w:t>４　その営業所の構造設備が、厚生労働省令で定める基準に適合しないときは、第一項の許可を与えないことができる。</w:t>
      </w:r>
    </w:p>
    <w:p w:rsidR="00414670" w:rsidRPr="00414670" w:rsidRDefault="00414670" w:rsidP="00414670">
      <w:pPr>
        <w:autoSpaceDE w:val="0"/>
        <w:autoSpaceDN w:val="0"/>
        <w:adjustRightInd w:val="0"/>
        <w:jc w:val="left"/>
        <w:rPr>
          <w:rFonts w:ascii="ＭＳ 明朝" w:eastAsia="ＭＳ 明朝" w:hAnsi="ＭＳ 明朝" w:cs="CIDFont+F3"/>
          <w:kern w:val="0"/>
          <w:szCs w:val="21"/>
        </w:rPr>
      </w:pPr>
      <w:r w:rsidRPr="00414670">
        <w:rPr>
          <w:rFonts w:ascii="ＭＳ 明朝" w:eastAsia="ＭＳ 明朝" w:hAnsi="ＭＳ 明朝" w:cs="CIDFont+F3" w:hint="eastAsia"/>
          <w:kern w:val="0"/>
          <w:szCs w:val="21"/>
        </w:rPr>
        <w:t>５　第五条（第三号に係る部分に限る。）の規定は、第一項の許可について準用する。</w:t>
      </w:r>
    </w:p>
    <w:p w:rsidR="00414670" w:rsidRPr="004A4277" w:rsidRDefault="00414670" w:rsidP="00414670">
      <w:pPr>
        <w:autoSpaceDE w:val="0"/>
        <w:autoSpaceDN w:val="0"/>
        <w:adjustRightInd w:val="0"/>
        <w:jc w:val="left"/>
        <w:rPr>
          <w:rFonts w:ascii="ＭＳ 明朝" w:eastAsia="ＭＳ 明朝" w:hAnsi="ＭＳ 明朝" w:cs="CIDFont+F3" w:hint="eastAsia"/>
          <w:kern w:val="0"/>
          <w:szCs w:val="21"/>
        </w:rPr>
      </w:pPr>
      <w:r w:rsidRPr="00414670">
        <w:rPr>
          <w:rFonts w:ascii="ＭＳ 明朝" w:eastAsia="ＭＳ 明朝" w:hAnsi="ＭＳ 明朝" w:cs="CIDFont+F3" w:hint="eastAsia"/>
          <w:kern w:val="0"/>
          <w:szCs w:val="21"/>
        </w:rPr>
        <w:lastRenderedPageBreak/>
        <w:t>６</w:t>
      </w:r>
      <w:r>
        <w:rPr>
          <w:rFonts w:ascii="ＭＳ 明朝" w:eastAsia="ＭＳ 明朝" w:hAnsi="ＭＳ 明朝" w:cs="CIDFont+F3" w:hint="eastAsia"/>
          <w:kern w:val="0"/>
          <w:szCs w:val="21"/>
        </w:rPr>
        <w:t>（略）</w:t>
      </w:r>
    </w:p>
    <w:p w:rsidR="004A4277" w:rsidRPr="004A4277" w:rsidRDefault="004A4277" w:rsidP="004A4277">
      <w:pPr>
        <w:autoSpaceDE w:val="0"/>
        <w:autoSpaceDN w:val="0"/>
        <w:adjustRightInd w:val="0"/>
        <w:jc w:val="left"/>
        <w:rPr>
          <w:rFonts w:ascii="ＭＳ ゴシック" w:eastAsia="ＭＳ ゴシック" w:hAnsi="ＭＳ ゴシック" w:cs="CIDFont+F2"/>
          <w:kern w:val="0"/>
          <w:szCs w:val="21"/>
        </w:rPr>
      </w:pPr>
      <w:r w:rsidRPr="004A4277">
        <w:rPr>
          <w:rFonts w:ascii="ＭＳ ゴシック" w:eastAsia="ＭＳ ゴシック" w:hAnsi="ＭＳ ゴシック" w:cs="CIDFont+F2" w:hint="eastAsia"/>
          <w:kern w:val="0"/>
          <w:szCs w:val="21"/>
        </w:rPr>
        <w:t>●動物用医薬品等取締規則抜粋</w:t>
      </w:r>
    </w:p>
    <w:p w:rsidR="00414670" w:rsidRPr="00414670" w:rsidRDefault="00414670" w:rsidP="00414670">
      <w:pPr>
        <w:autoSpaceDE w:val="0"/>
        <w:autoSpaceDN w:val="0"/>
        <w:adjustRightInd w:val="0"/>
        <w:jc w:val="left"/>
        <w:rPr>
          <w:rFonts w:ascii="ＭＳ ゴシック" w:eastAsia="ＭＳ ゴシック" w:hAnsi="ＭＳ ゴシック" w:cs="CIDFont+F3"/>
          <w:kern w:val="0"/>
          <w:szCs w:val="21"/>
        </w:rPr>
      </w:pPr>
      <w:r w:rsidRPr="00414670">
        <w:rPr>
          <w:rFonts w:ascii="ＭＳ ゴシック" w:eastAsia="ＭＳ ゴシック" w:hAnsi="ＭＳ ゴシック" w:cs="CIDFont+F3"/>
          <w:kern w:val="0"/>
          <w:szCs w:val="21"/>
        </w:rPr>
        <w:t>(高度管理医療機器等の販売業又は貸与業の営業所の構造設備の基準)</w:t>
      </w:r>
    </w:p>
    <w:p w:rsidR="00414670" w:rsidRPr="00414670" w:rsidRDefault="00414670" w:rsidP="00414670">
      <w:pPr>
        <w:autoSpaceDE w:val="0"/>
        <w:autoSpaceDN w:val="0"/>
        <w:adjustRightInd w:val="0"/>
        <w:jc w:val="left"/>
        <w:rPr>
          <w:rFonts w:ascii="ＭＳ 明朝" w:eastAsia="ＭＳ 明朝" w:hAnsi="ＭＳ 明朝" w:cs="CIDFont+F3"/>
          <w:kern w:val="0"/>
          <w:szCs w:val="21"/>
        </w:rPr>
      </w:pPr>
      <w:r w:rsidRPr="00414670">
        <w:rPr>
          <w:rFonts w:ascii="ＭＳ 明朝" w:eastAsia="ＭＳ 明朝" w:hAnsi="ＭＳ 明朝" w:cs="CIDFont+F3" w:hint="eastAsia"/>
          <w:kern w:val="0"/>
          <w:szCs w:val="21"/>
        </w:rPr>
        <w:t>第百十八条</w:t>
      </w:r>
      <w:r w:rsidRPr="00414670">
        <w:rPr>
          <w:rFonts w:ascii="ＭＳ 明朝" w:eastAsia="ＭＳ 明朝" w:hAnsi="ＭＳ 明朝" w:cs="CIDFont+F3"/>
          <w:kern w:val="0"/>
          <w:szCs w:val="21"/>
        </w:rPr>
        <w:t xml:space="preserve"> 法第三十九条第四項の農林水産省令で定める基準は、次のとおりとする。ただし、高度管理医療機器プログラム(法第三十九条第一項に規定する高度管理医療機器プログラムをいう。以下同じ。)の電気通信回線を通じた提供のみを行う営業所については、この限りでない。</w:t>
      </w:r>
    </w:p>
    <w:p w:rsidR="00414670" w:rsidRPr="00414670" w:rsidRDefault="00414670" w:rsidP="00414670">
      <w:pPr>
        <w:autoSpaceDE w:val="0"/>
        <w:autoSpaceDN w:val="0"/>
        <w:adjustRightInd w:val="0"/>
        <w:jc w:val="left"/>
        <w:rPr>
          <w:rFonts w:ascii="ＭＳ 明朝" w:eastAsia="ＭＳ 明朝" w:hAnsi="ＭＳ 明朝" w:cs="CIDFont+F3"/>
          <w:kern w:val="0"/>
          <w:szCs w:val="21"/>
        </w:rPr>
      </w:pPr>
      <w:r w:rsidRPr="00414670">
        <w:rPr>
          <w:rFonts w:ascii="ＭＳ 明朝" w:eastAsia="ＭＳ 明朝" w:hAnsi="ＭＳ 明朝" w:cs="CIDFont+F3" w:hint="eastAsia"/>
          <w:kern w:val="0"/>
          <w:szCs w:val="21"/>
        </w:rPr>
        <w:t>一</w:t>
      </w:r>
      <w:r w:rsidRPr="00414670">
        <w:rPr>
          <w:rFonts w:ascii="ＭＳ 明朝" w:eastAsia="ＭＳ 明朝" w:hAnsi="ＭＳ 明朝" w:cs="CIDFont+F3"/>
          <w:kern w:val="0"/>
          <w:szCs w:val="21"/>
        </w:rPr>
        <w:t xml:space="preserve"> 採光、照明及び換気が適切であり、かつ、清潔であること。</w:t>
      </w:r>
    </w:p>
    <w:p w:rsidR="00414670" w:rsidRPr="00414670" w:rsidRDefault="00414670" w:rsidP="00414670">
      <w:pPr>
        <w:autoSpaceDE w:val="0"/>
        <w:autoSpaceDN w:val="0"/>
        <w:adjustRightInd w:val="0"/>
        <w:jc w:val="left"/>
        <w:rPr>
          <w:rFonts w:ascii="ＭＳ 明朝" w:eastAsia="ＭＳ 明朝" w:hAnsi="ＭＳ 明朝" w:cs="CIDFont+F3"/>
          <w:kern w:val="0"/>
          <w:szCs w:val="21"/>
        </w:rPr>
      </w:pPr>
      <w:r w:rsidRPr="00414670">
        <w:rPr>
          <w:rFonts w:ascii="ＭＳ 明朝" w:eastAsia="ＭＳ 明朝" w:hAnsi="ＭＳ 明朝" w:cs="CIDFont+F3" w:hint="eastAsia"/>
          <w:kern w:val="0"/>
          <w:szCs w:val="21"/>
        </w:rPr>
        <w:t>二</w:t>
      </w:r>
      <w:r w:rsidRPr="00414670">
        <w:rPr>
          <w:rFonts w:ascii="ＭＳ 明朝" w:eastAsia="ＭＳ 明朝" w:hAnsi="ＭＳ 明朝" w:cs="CIDFont+F3"/>
          <w:kern w:val="0"/>
          <w:szCs w:val="21"/>
        </w:rPr>
        <w:t xml:space="preserve"> 常時居住する場所及び不潔な場所から明確に区別されていること。</w:t>
      </w:r>
    </w:p>
    <w:p w:rsidR="004A4277" w:rsidRPr="00414670" w:rsidRDefault="00414670" w:rsidP="00414670">
      <w:pPr>
        <w:autoSpaceDE w:val="0"/>
        <w:autoSpaceDN w:val="0"/>
        <w:adjustRightInd w:val="0"/>
        <w:jc w:val="left"/>
        <w:rPr>
          <w:rFonts w:ascii="ＭＳ 明朝" w:eastAsia="ＭＳ 明朝" w:hAnsi="ＭＳ 明朝" w:cs="CIDFont+F3"/>
          <w:kern w:val="0"/>
          <w:szCs w:val="21"/>
        </w:rPr>
      </w:pPr>
      <w:r w:rsidRPr="00414670">
        <w:rPr>
          <w:rFonts w:ascii="ＭＳ 明朝" w:eastAsia="ＭＳ 明朝" w:hAnsi="ＭＳ 明朝" w:cs="CIDFont+F3" w:hint="eastAsia"/>
          <w:kern w:val="0"/>
          <w:szCs w:val="21"/>
        </w:rPr>
        <w:t>三</w:t>
      </w:r>
      <w:r w:rsidRPr="00414670">
        <w:rPr>
          <w:rFonts w:ascii="ＭＳ 明朝" w:eastAsia="ＭＳ 明朝" w:hAnsi="ＭＳ 明朝" w:cs="CIDFont+F3"/>
          <w:kern w:val="0"/>
          <w:szCs w:val="21"/>
        </w:rPr>
        <w:t xml:space="preserve"> 取扱品目を衛生的かつ安全に貯蔵するために必要な設備を有すること。</w:t>
      </w:r>
      <w:bookmarkStart w:id="0" w:name="_GoBack"/>
      <w:bookmarkEnd w:id="0"/>
    </w:p>
    <w:sectPr w:rsidR="004A4277" w:rsidRPr="00414670" w:rsidSect="004A427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CIDFont+F3">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77"/>
    <w:rsid w:val="004102C1"/>
    <w:rsid w:val="00414670"/>
    <w:rsid w:val="004A4277"/>
    <w:rsid w:val="008B6E03"/>
    <w:rsid w:val="00D11CCC"/>
    <w:rsid w:val="00FE5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FA3D09"/>
  <w15:chartTrackingRefBased/>
  <w15:docId w15:val="{0EDC36EA-264C-4C7A-9279-59F2767A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久保庭　清華</dc:creator>
  <cp:keywords/>
  <dc:description/>
  <cp:lastModifiedBy>久保庭　清華</cp:lastModifiedBy>
  <cp:revision>2</cp:revision>
  <cp:lastPrinted>2022-03-23T07:48:00Z</cp:lastPrinted>
  <dcterms:created xsi:type="dcterms:W3CDTF">2021-07-21T05:25:00Z</dcterms:created>
  <dcterms:modified xsi:type="dcterms:W3CDTF">2022-03-23T07:48:00Z</dcterms:modified>
</cp:coreProperties>
</file>