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DF9" w:rsidRPr="00244B3D" w:rsidRDefault="00B71DF9" w:rsidP="00B97DE8">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Times New Roman" w:hint="eastAsia"/>
          <w:b/>
          <w:color w:val="000000"/>
          <w:spacing w:val="2"/>
          <w:kern w:val="0"/>
          <w:sz w:val="23"/>
          <w:szCs w:val="23"/>
        </w:rPr>
        <w:t>疑義解釈</w:t>
      </w:r>
    </w:p>
    <w:p w:rsidR="00244B3D" w:rsidRPr="00244B3D" w:rsidRDefault="00B90D10" w:rsidP="00B97DE8">
      <w:pPr>
        <w:autoSpaceDE w:val="0"/>
        <w:autoSpaceDN w:val="0"/>
        <w:adjustRightInd w:val="0"/>
        <w:jc w:val="left"/>
        <w:rPr>
          <w:rFonts w:ascii="ＭＳ 明朝" w:hAnsi="Times New Roman"/>
          <w:color w:val="000000"/>
          <w:spacing w:val="2"/>
          <w:kern w:val="0"/>
          <w:sz w:val="23"/>
          <w:szCs w:val="23"/>
        </w:rPr>
      </w:pPr>
      <w:r>
        <w:rPr>
          <w:rFonts w:ascii="ＭＳ 明朝" w:hAnsi="ＭＳ 明朝" w:cs="ＭＳ 明朝" w:hint="eastAsia"/>
          <w:b/>
          <w:bCs/>
          <w:color w:val="000000"/>
          <w:kern w:val="0"/>
          <w:sz w:val="23"/>
          <w:szCs w:val="23"/>
        </w:rPr>
        <w:t xml:space="preserve">　</w:t>
      </w:r>
      <w:r w:rsidR="00B71DF9" w:rsidRPr="00244B3D">
        <w:rPr>
          <w:rFonts w:ascii="ＭＳ 明朝" w:hAnsi="ＭＳ 明朝" w:cs="ＭＳ 明朝"/>
          <w:b/>
          <w:bCs/>
          <w:color w:val="000000"/>
          <w:kern w:val="0"/>
          <w:sz w:val="23"/>
          <w:szCs w:val="23"/>
        </w:rPr>
        <w:t>[</w:t>
      </w:r>
      <w:r w:rsidR="00B71DF9" w:rsidRPr="00244B3D">
        <w:rPr>
          <w:rFonts w:ascii="ＭＳ 明朝" w:hAnsi="ＭＳ 明朝" w:cs="ＭＳ 明朝" w:hint="eastAsia"/>
          <w:b/>
          <w:bCs/>
          <w:color w:val="000000"/>
          <w:kern w:val="0"/>
          <w:sz w:val="23"/>
          <w:szCs w:val="23"/>
        </w:rPr>
        <w:t>心臓機能障害</w:t>
      </w:r>
      <w:r w:rsidR="00B71DF9" w:rsidRPr="00244B3D">
        <w:rPr>
          <w:rFonts w:ascii="ＭＳ 明朝" w:hAnsi="ＭＳ 明朝" w:cs="ＭＳ 明朝"/>
          <w:b/>
          <w:bCs/>
          <w:color w:val="000000"/>
          <w:kern w:val="0"/>
          <w:sz w:val="23"/>
          <w:szCs w:val="23"/>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791"/>
        <w:gridCol w:w="4674"/>
      </w:tblGrid>
      <w:tr w:rsidR="00E4722A" w:rsidRPr="00244B3D" w:rsidTr="00016C13">
        <w:trPr>
          <w:cantSplit/>
          <w:trHeight w:val="287"/>
        </w:trPr>
        <w:tc>
          <w:tcPr>
            <w:tcW w:w="4791" w:type="dxa"/>
          </w:tcPr>
          <w:p w:rsidR="00E4722A" w:rsidRPr="00244B3D" w:rsidRDefault="00E4722A" w:rsidP="00B97DE8">
            <w:pPr>
              <w:suppressAutoHyphens/>
              <w:kinsoku w:val="0"/>
              <w:overflowPunct w:val="0"/>
              <w:autoSpaceDE w:val="0"/>
              <w:autoSpaceDN w:val="0"/>
              <w:adjustRightInd w:val="0"/>
              <w:jc w:val="center"/>
              <w:textAlignment w:val="baseline"/>
              <w:rPr>
                <w:rFonts w:ascii="ＭＳ 明朝" w:hAnsi="Times New Roman"/>
                <w:kern w:val="0"/>
                <w:sz w:val="24"/>
              </w:rPr>
            </w:pPr>
            <w:r>
              <w:rPr>
                <w:rFonts w:ascii="ＭＳ 明朝" w:hAnsi="ＭＳ 明朝" w:cs="ＭＳ 明朝" w:hint="eastAsia"/>
                <w:color w:val="000000"/>
                <w:kern w:val="0"/>
                <w:sz w:val="23"/>
                <w:szCs w:val="23"/>
              </w:rPr>
              <w:t>問</w:t>
            </w:r>
          </w:p>
        </w:tc>
        <w:tc>
          <w:tcPr>
            <w:tcW w:w="4674" w:type="dxa"/>
          </w:tcPr>
          <w:p w:rsidR="00E4722A" w:rsidRPr="00244B3D" w:rsidRDefault="00E4722A" w:rsidP="00B97DE8">
            <w:pPr>
              <w:suppressAutoHyphens/>
              <w:kinsoku w:val="0"/>
              <w:overflowPunct w:val="0"/>
              <w:autoSpaceDE w:val="0"/>
              <w:autoSpaceDN w:val="0"/>
              <w:adjustRightInd w:val="0"/>
              <w:jc w:val="center"/>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答</w:t>
            </w:r>
          </w:p>
        </w:tc>
      </w:tr>
      <w:tr w:rsidR="00244B3D" w:rsidRPr="00244B3D" w:rsidTr="00016C13">
        <w:trPr>
          <w:cantSplit/>
          <w:trHeight w:val="1890"/>
        </w:trPr>
        <w:tc>
          <w:tcPr>
            <w:tcW w:w="4791" w:type="dxa"/>
          </w:tcPr>
          <w:p w:rsidR="00244B3D" w:rsidRPr="00244B3D" w:rsidRDefault="00244B3D" w:rsidP="00B97DE8">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１．先天性心疾患による心臓機能障害をもつ者が、満</w:t>
            </w:r>
            <w:r w:rsidRPr="00244B3D">
              <w:rPr>
                <w:rFonts w:ascii="ＭＳ 明朝" w:hAnsi="ＭＳ 明朝" w:cs="ＭＳ 明朝"/>
                <w:color w:val="000000"/>
                <w:kern w:val="0"/>
                <w:sz w:val="23"/>
                <w:szCs w:val="23"/>
              </w:rPr>
              <w:t>18</w:t>
            </w:r>
            <w:r w:rsidRPr="00244B3D">
              <w:rPr>
                <w:rFonts w:ascii="ＭＳ 明朝" w:hAnsi="ＭＳ 明朝" w:cs="ＭＳ 明朝" w:hint="eastAsia"/>
                <w:color w:val="000000"/>
                <w:kern w:val="0"/>
                <w:sz w:val="23"/>
                <w:szCs w:val="23"/>
              </w:rPr>
              <w:t>歳以降に新規で</w:t>
            </w:r>
            <w:r w:rsidRPr="00244B3D">
              <w:rPr>
                <w:rFonts w:ascii="ＭＳ 明朝" w:hAnsi="Times New Roman" w:cs="ＭＳ 明朝" w:hint="eastAsia"/>
                <w:color w:val="000000"/>
                <w:kern w:val="0"/>
                <w:sz w:val="23"/>
                <w:szCs w:val="23"/>
              </w:rPr>
              <w:t>手帳</w:t>
            </w:r>
            <w:r w:rsidRPr="00244B3D">
              <w:rPr>
                <w:rFonts w:ascii="ＭＳ 明朝" w:hAnsi="ＭＳ 明朝" w:cs="ＭＳ 明朝" w:hint="eastAsia"/>
                <w:color w:val="000000"/>
                <w:kern w:val="0"/>
                <w:sz w:val="23"/>
                <w:szCs w:val="23"/>
              </w:rPr>
              <w:t>申請した場合、診断書及び認定基準は、それぞれ「</w:t>
            </w:r>
            <w:r w:rsidRPr="00244B3D">
              <w:rPr>
                <w:rFonts w:ascii="ＭＳ 明朝" w:hAnsi="ＭＳ 明朝" w:cs="ＭＳ 明朝"/>
                <w:color w:val="000000"/>
                <w:kern w:val="0"/>
                <w:sz w:val="23"/>
                <w:szCs w:val="23"/>
              </w:rPr>
              <w:t>18</w:t>
            </w:r>
            <w:r w:rsidRPr="00244B3D">
              <w:rPr>
                <w:rFonts w:ascii="ＭＳ 明朝" w:hAnsi="ＭＳ 明朝" w:cs="ＭＳ 明朝" w:hint="eastAsia"/>
                <w:color w:val="000000"/>
                <w:kern w:val="0"/>
                <w:sz w:val="23"/>
                <w:szCs w:val="23"/>
              </w:rPr>
              <w:t>歳以上用」と「</w:t>
            </w:r>
            <w:r w:rsidRPr="00244B3D">
              <w:rPr>
                <w:rFonts w:ascii="ＭＳ 明朝" w:hAnsi="ＭＳ 明朝" w:cs="ＭＳ 明朝"/>
                <w:color w:val="000000"/>
                <w:kern w:val="0"/>
                <w:sz w:val="23"/>
                <w:szCs w:val="23"/>
              </w:rPr>
              <w:t>18</w:t>
            </w:r>
            <w:r w:rsidRPr="00244B3D">
              <w:rPr>
                <w:rFonts w:ascii="ＭＳ 明朝" w:hAnsi="ＭＳ 明朝" w:cs="ＭＳ 明朝" w:hint="eastAsia"/>
                <w:color w:val="000000"/>
                <w:kern w:val="0"/>
                <w:sz w:val="23"/>
                <w:szCs w:val="23"/>
              </w:rPr>
              <w:t>歳未満用」のどちらを用いるのか。</w:t>
            </w:r>
          </w:p>
        </w:tc>
        <w:tc>
          <w:tcPr>
            <w:tcW w:w="4674" w:type="dxa"/>
          </w:tcPr>
          <w:p w:rsidR="00244B3D" w:rsidRPr="00244B3D" w:rsidRDefault="00244B3D" w:rsidP="00B97DE8">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それぞれ「</w:t>
            </w:r>
            <w:r w:rsidRPr="00244B3D">
              <w:rPr>
                <w:rFonts w:ascii="ＭＳ 明朝" w:hAnsi="ＭＳ 明朝" w:cs="ＭＳ 明朝"/>
                <w:color w:val="000000"/>
                <w:kern w:val="0"/>
                <w:sz w:val="23"/>
                <w:szCs w:val="23"/>
              </w:rPr>
              <w:t>18</w:t>
            </w:r>
            <w:r w:rsidRPr="00244B3D">
              <w:rPr>
                <w:rFonts w:ascii="ＭＳ 明朝" w:hAnsi="ＭＳ 明朝" w:cs="ＭＳ 明朝" w:hint="eastAsia"/>
                <w:color w:val="000000"/>
                <w:kern w:val="0"/>
                <w:sz w:val="23"/>
                <w:szCs w:val="23"/>
              </w:rPr>
              <w:t>歳以上用」のものを使うことが原則であるが、成長の度合等により、「</w:t>
            </w:r>
            <w:r w:rsidRPr="00244B3D">
              <w:rPr>
                <w:rFonts w:ascii="ＭＳ 明朝" w:hAnsi="ＭＳ 明朝" w:cs="ＭＳ 明朝"/>
                <w:color w:val="000000"/>
                <w:kern w:val="0"/>
                <w:sz w:val="23"/>
                <w:szCs w:val="23"/>
              </w:rPr>
              <w:t>18</w:t>
            </w:r>
            <w:r w:rsidRPr="00244B3D">
              <w:rPr>
                <w:rFonts w:ascii="ＭＳ 明朝" w:hAnsi="ＭＳ 明朝" w:cs="ＭＳ 明朝" w:hint="eastAsia"/>
                <w:color w:val="000000"/>
                <w:kern w:val="0"/>
                <w:sz w:val="23"/>
                <w:szCs w:val="23"/>
              </w:rPr>
              <w:t>歳以上用」の診断書や認定基準を用いることが不適当な場合は、適宜「</w:t>
            </w:r>
            <w:r w:rsidRPr="00244B3D">
              <w:rPr>
                <w:rFonts w:ascii="ＭＳ 明朝" w:hAnsi="ＭＳ 明朝" w:cs="ＭＳ 明朝"/>
                <w:color w:val="000000"/>
                <w:kern w:val="0"/>
                <w:sz w:val="23"/>
                <w:szCs w:val="23"/>
              </w:rPr>
              <w:t>18</w:t>
            </w:r>
            <w:r w:rsidRPr="00244B3D">
              <w:rPr>
                <w:rFonts w:ascii="ＭＳ 明朝" w:hAnsi="ＭＳ 明朝" w:cs="ＭＳ 明朝" w:hint="eastAsia"/>
                <w:color w:val="000000"/>
                <w:kern w:val="0"/>
                <w:sz w:val="23"/>
                <w:szCs w:val="23"/>
              </w:rPr>
              <w:t>歳未満用」により判定することも可能である。</w:t>
            </w:r>
          </w:p>
        </w:tc>
      </w:tr>
      <w:tr w:rsidR="00244B3D" w:rsidRPr="00244B3D" w:rsidTr="00016C13">
        <w:trPr>
          <w:cantSplit/>
          <w:trHeight w:val="2869"/>
        </w:trPr>
        <w:tc>
          <w:tcPr>
            <w:tcW w:w="4791" w:type="dxa"/>
          </w:tcPr>
          <w:p w:rsidR="00244B3D" w:rsidRPr="00244B3D" w:rsidRDefault="00244B3D" w:rsidP="00B97DE8">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２．更生医療によって、大動脈と冠動脈のバイパス手術を行う予定の者が、身体障害者手帳の申請をした場合は認定できるか。また</w:t>
            </w:r>
            <w:r w:rsidRPr="00244B3D">
              <w:rPr>
                <w:rFonts w:ascii="ＭＳ 明朝" w:hAnsi="Times New Roman" w:cs="ＭＳ 明朝" w:hint="eastAsia"/>
                <w:color w:val="000000"/>
                <w:kern w:val="0"/>
                <w:sz w:val="23"/>
                <w:szCs w:val="23"/>
              </w:rPr>
              <w:t>急性心筋梗塞で緊急入院した者が、早い時期に</w:t>
            </w:r>
            <w:r w:rsidRPr="00244B3D">
              <w:rPr>
                <w:rFonts w:ascii="ＭＳ 明朝" w:hAnsi="ＭＳ 明朝" w:cs="ＭＳ 明朝" w:hint="eastAsia"/>
                <w:color w:val="000000"/>
                <w:kern w:val="0"/>
                <w:sz w:val="23"/>
                <w:szCs w:val="23"/>
              </w:rPr>
              <w:t>バイパス手術を行った場合は、更生医療の申請と同時に障害認定することは可能か。</w:t>
            </w:r>
          </w:p>
        </w:tc>
        <w:tc>
          <w:tcPr>
            <w:tcW w:w="4674" w:type="dxa"/>
          </w:tcPr>
          <w:p w:rsidR="00244B3D" w:rsidRPr="00244B3D" w:rsidRDefault="00244B3D" w:rsidP="00016C13">
            <w:pPr>
              <w:suppressAutoHyphens/>
              <w:kinsoku w:val="0"/>
              <w:overflowPunct w:val="0"/>
              <w:autoSpaceDE w:val="0"/>
              <w:autoSpaceDN w:val="0"/>
              <w:adjustRightInd w:val="0"/>
              <w:ind w:firstLineChars="100" w:firstLine="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心臓機能障害の認定基準に該当するものであれば、更生医療の活用の有無に関わりなく認定可能であるが、更生医療の適用を目的に、心疾患の発生とほぼ同時に認定することは、</w:t>
            </w:r>
            <w:r w:rsidRPr="00244B3D">
              <w:rPr>
                <w:rFonts w:ascii="ＭＳ 明朝" w:hAnsi="Times New Roman" w:cs="ＭＳ 明朝" w:hint="eastAsia"/>
                <w:color w:val="000000"/>
                <w:kern w:val="0"/>
                <w:sz w:val="23"/>
                <w:szCs w:val="23"/>
              </w:rPr>
              <w:t>障害固定後の認定の原則から適当ではない。</w:t>
            </w:r>
          </w:p>
          <w:p w:rsidR="00244B3D" w:rsidRPr="00244B3D" w:rsidRDefault="00244B3D" w:rsidP="00B97DE8">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Times New Roman" w:cs="ＭＳ 明朝" w:hint="eastAsia"/>
                <w:color w:val="000000"/>
                <w:kern w:val="0"/>
                <w:sz w:val="23"/>
                <w:szCs w:val="23"/>
              </w:rPr>
              <w:t xml:space="preserve">　また、バイパス手術の実施のみをもって心臓機能障害と認定することは適当ではない。</w:t>
            </w:r>
          </w:p>
        </w:tc>
      </w:tr>
      <w:tr w:rsidR="00244B3D" w:rsidRPr="00244B3D" w:rsidTr="00016C13">
        <w:trPr>
          <w:cantSplit/>
          <w:trHeight w:val="8868"/>
        </w:trPr>
        <w:tc>
          <w:tcPr>
            <w:tcW w:w="4791" w:type="dxa"/>
          </w:tcPr>
          <w:p w:rsidR="00244B3D" w:rsidRPr="00244B3D" w:rsidRDefault="00244B3D" w:rsidP="0050339D">
            <w:pPr>
              <w:suppressAutoHyphens/>
              <w:kinsoku w:val="0"/>
              <w:overflowPunct w:val="0"/>
              <w:autoSpaceDE w:val="0"/>
              <w:autoSpaceDN w:val="0"/>
              <w:adjustRightInd w:val="0"/>
              <w:ind w:left="242" w:hangingChars="100" w:hanging="242"/>
              <w:jc w:val="left"/>
              <w:textAlignment w:val="baseline"/>
              <w:rPr>
                <w:rFonts w:ascii="ＭＳ 明朝" w:hAnsi="Times New Roman"/>
                <w:kern w:val="0"/>
                <w:sz w:val="24"/>
              </w:rPr>
            </w:pPr>
            <w:r w:rsidRPr="00334ADF">
              <w:rPr>
                <w:rFonts w:ascii="ＭＳ 明朝" w:hAnsi="ＭＳ 明朝" w:cs="ＭＳ 明朝" w:hint="eastAsia"/>
                <w:color w:val="000000"/>
                <w:spacing w:val="6"/>
                <w:kern w:val="0"/>
                <w:sz w:val="23"/>
                <w:szCs w:val="23"/>
                <w:fitText w:val="4600" w:id="1375514624"/>
              </w:rPr>
              <w:t>３．</w:t>
            </w:r>
            <w:r w:rsidRPr="00334ADF">
              <w:rPr>
                <w:rFonts w:ascii="ＭＳ 明朝" w:hAnsi="ＭＳ 明朝" w:cs="ＭＳ 明朝"/>
                <w:color w:val="000000"/>
                <w:spacing w:val="6"/>
                <w:kern w:val="0"/>
                <w:sz w:val="23"/>
                <w:szCs w:val="23"/>
                <w:fitText w:val="4600" w:id="1375514624"/>
              </w:rPr>
              <w:t>18</w:t>
            </w:r>
            <w:r w:rsidRPr="00334ADF">
              <w:rPr>
                <w:rFonts w:ascii="ＭＳ 明朝" w:hAnsi="ＭＳ 明朝" w:cs="ＭＳ 明朝" w:hint="eastAsia"/>
                <w:color w:val="000000"/>
                <w:spacing w:val="6"/>
                <w:kern w:val="0"/>
                <w:sz w:val="23"/>
                <w:szCs w:val="23"/>
                <w:fitText w:val="4600" w:id="1375514624"/>
              </w:rPr>
              <w:t>歳以上用の診断書の「３　心電図所</w:t>
            </w:r>
            <w:r w:rsidRPr="0073436F">
              <w:rPr>
                <w:rFonts w:ascii="ＭＳ 明朝" w:hAnsi="ＭＳ 明朝" w:cs="ＭＳ 明朝" w:hint="eastAsia"/>
                <w:color w:val="000000"/>
                <w:kern w:val="0"/>
                <w:sz w:val="23"/>
                <w:szCs w:val="23"/>
              </w:rPr>
              <w:t>見」</w:t>
            </w:r>
            <w:r w:rsidRPr="00244B3D">
              <w:rPr>
                <w:rFonts w:ascii="ＭＳ 明朝" w:hAnsi="ＭＳ 明朝" w:cs="ＭＳ 明朝" w:hint="eastAsia"/>
                <w:color w:val="000000"/>
                <w:kern w:val="0"/>
                <w:sz w:val="23"/>
                <w:szCs w:val="23"/>
              </w:rPr>
              <w:t>の「シ　その他の心電図所見」及び「ス　不整脈のあるものでは発作中の心電図所見」の項目があるが、認定基準及び認定要領等にはその取扱いの記載がないが、これらの検査データはどのように活用されるのか。</w:t>
            </w:r>
          </w:p>
        </w:tc>
        <w:tc>
          <w:tcPr>
            <w:tcW w:w="4674" w:type="dxa"/>
          </w:tcPr>
          <w:p w:rsidR="00244B3D" w:rsidRPr="00244B3D" w:rsidRDefault="00244B3D" w:rsidP="00B97DE8">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診断医が、「活動能力の程度」等について判定する際の根拠となり得るとの理由から、シ、スの２項目が加えられており、必要に応</w:t>
            </w:r>
            <w:r w:rsidRPr="00334ADF">
              <w:rPr>
                <w:rFonts w:ascii="ＭＳ 明朝" w:hAnsi="ＭＳ 明朝" w:cs="ＭＳ 明朝" w:hint="eastAsia"/>
                <w:color w:val="000000"/>
                <w:spacing w:val="6"/>
                <w:kern w:val="0"/>
                <w:sz w:val="23"/>
                <w:szCs w:val="23"/>
                <w:fitText w:val="4600" w:id="1375514880"/>
              </w:rPr>
              <w:t>じて当該検査を実施し、記載することと</w:t>
            </w:r>
            <w:r w:rsidRPr="00334ADF">
              <w:rPr>
                <w:rFonts w:ascii="ＭＳ 明朝" w:hAnsi="ＭＳ 明朝" w:cs="ＭＳ 明朝" w:hint="eastAsia"/>
                <w:color w:val="000000"/>
                <w:spacing w:val="7"/>
                <w:kern w:val="0"/>
                <w:sz w:val="23"/>
                <w:szCs w:val="23"/>
                <w:fitText w:val="4600" w:id="1375514880"/>
              </w:rPr>
              <w:t>な</w:t>
            </w:r>
            <w:r w:rsidRPr="0073436F">
              <w:rPr>
                <w:rFonts w:ascii="ＭＳ 明朝" w:hAnsi="ＭＳ 明朝" w:cs="ＭＳ 明朝" w:hint="eastAsia"/>
                <w:color w:val="000000"/>
                <w:kern w:val="0"/>
                <w:sz w:val="23"/>
                <w:szCs w:val="23"/>
              </w:rPr>
              <w:t>る。</w:t>
            </w:r>
          </w:p>
        </w:tc>
      </w:tr>
      <w:tr w:rsidR="00355C4B" w:rsidRPr="00244B3D" w:rsidTr="00016C13">
        <w:trPr>
          <w:cantSplit/>
          <w:trHeight w:val="14753"/>
        </w:trPr>
        <w:tc>
          <w:tcPr>
            <w:tcW w:w="4791" w:type="dxa"/>
          </w:tcPr>
          <w:p w:rsidR="00355C4B" w:rsidRPr="00562E03" w:rsidRDefault="00355C4B" w:rsidP="0073436F">
            <w:pPr>
              <w:pStyle w:val="a8"/>
              <w:wordWrap/>
              <w:spacing w:line="240" w:lineRule="auto"/>
              <w:rPr>
                <w:rFonts w:ascii="ＭＳ 明朝" w:hAnsi="ＭＳ 明朝"/>
                <w:spacing w:val="-8"/>
              </w:rPr>
            </w:pPr>
            <w:r>
              <w:rPr>
                <w:rFonts w:ascii="ＭＳ 明朝" w:hAnsi="ＭＳ 明朝" w:hint="eastAsia"/>
                <w:spacing w:val="-8"/>
              </w:rPr>
              <w:lastRenderedPageBreak/>
              <w:t>４．ペースメーカを植え込みしたもので、「自己の身辺の日常生活活動が極度に制限されるもの」（１級）、「家庭内での日常生活活動が著しく制限されるもの」（３級）、「社会での日常生活活動が著しく制限されるもの」（４級）はどのように判断するのか。</w:t>
            </w:r>
          </w:p>
        </w:tc>
        <w:tc>
          <w:tcPr>
            <w:tcW w:w="4674" w:type="dxa"/>
          </w:tcPr>
          <w:p w:rsidR="00355C4B" w:rsidRDefault="00355C4B" w:rsidP="00016C13">
            <w:pPr>
              <w:pStyle w:val="a8"/>
              <w:wordWrap/>
              <w:spacing w:line="240" w:lineRule="auto"/>
              <w:ind w:left="317" w:hangingChars="138" w:hanging="317"/>
              <w:jc w:val="left"/>
              <w:rPr>
                <w:rFonts w:ascii="ＭＳ 明朝" w:hAnsi="ＭＳ 明朝"/>
              </w:rPr>
            </w:pPr>
            <w:r>
              <w:rPr>
                <w:rFonts w:ascii="ＭＳ 明朝" w:hAnsi="ＭＳ 明朝" w:hint="eastAsia"/>
              </w:rPr>
              <w:t>（１）</w:t>
            </w:r>
            <w:r w:rsidR="0073436F">
              <w:rPr>
                <w:rFonts w:ascii="ＭＳ 明朝" w:hAnsi="ＭＳ 明朝" w:hint="eastAsia"/>
              </w:rPr>
              <w:t xml:space="preserve">　</w:t>
            </w:r>
            <w:r>
              <w:rPr>
                <w:rFonts w:ascii="ＭＳ 明朝" w:hAnsi="ＭＳ 明朝" w:hint="eastAsia"/>
              </w:rPr>
              <w:t>植え込み直後の判断については、次のとおりとする。</w:t>
            </w:r>
          </w:p>
          <w:p w:rsidR="00355C4B" w:rsidRDefault="00355C4B" w:rsidP="0073436F">
            <w:pPr>
              <w:pStyle w:val="a8"/>
              <w:wordWrap/>
              <w:spacing w:line="240" w:lineRule="auto"/>
              <w:ind w:firstLineChars="100" w:firstLine="230"/>
              <w:jc w:val="left"/>
              <w:rPr>
                <w:rFonts w:ascii="ＭＳ 明朝" w:hAnsi="ＭＳ 明朝"/>
              </w:rPr>
            </w:pPr>
            <w:r>
              <w:rPr>
                <w:rFonts w:ascii="ＭＳ 明朝" w:hAnsi="ＭＳ 明朝" w:hint="eastAsia"/>
              </w:rPr>
              <w:t>「自己の身辺の日常生活活動が極度に制限されるもの」（１級）とは、日本循環器学会の「不整脈の非薬物治療ガイドライン」（2011年改訂版）のクラスⅠに相当するもの</w:t>
            </w:r>
            <w:r w:rsidR="0064268F">
              <w:rPr>
                <w:rFonts w:ascii="ＭＳ 明朝" w:hAnsi="ＭＳ 明朝" w:hint="eastAsia"/>
              </w:rPr>
              <w:t>、又はクラスⅡ以下に相当するもの</w:t>
            </w:r>
            <w:r>
              <w:rPr>
                <w:rFonts w:ascii="ＭＳ 明朝" w:hAnsi="ＭＳ 明朝" w:hint="eastAsia"/>
              </w:rPr>
              <w:t>であって、身体活動能力（運動強度：メッツ）の値が２未満のものをいう。</w:t>
            </w:r>
            <w:r>
              <w:rPr>
                <w:rFonts w:ascii="ＭＳ 明朝" w:hAnsi="ＭＳ 明朝" w:hint="eastAsia"/>
              </w:rPr>
              <w:br/>
              <w:t xml:space="preserve">　「家庭内での日常生活活動が著しく制限されるもの」（３級）とは、同ガイドラインのクラスⅡ以下に相当するものであって、身体活動能力（運動強度：メッツ）の値が２以上４未満のものをいう。</w:t>
            </w:r>
            <w:r>
              <w:rPr>
                <w:rFonts w:ascii="ＭＳ 明朝" w:hAnsi="ＭＳ 明朝" w:hint="eastAsia"/>
              </w:rPr>
              <w:br/>
              <w:t xml:space="preserve">　「社会での日常生活活動が著しく制限されるもの」（４級）とは、同ガイドラインのクラスⅡ以下に相当するものであって、身体活動能力（運動強度：メッツ）の値が４以上のものをいう。</w:t>
            </w:r>
          </w:p>
          <w:p w:rsidR="0073436F" w:rsidRDefault="00355C4B" w:rsidP="0073436F">
            <w:pPr>
              <w:pStyle w:val="a8"/>
              <w:wordWrap/>
              <w:spacing w:line="240" w:lineRule="auto"/>
              <w:ind w:left="230" w:hangingChars="100" w:hanging="230"/>
              <w:jc w:val="left"/>
              <w:rPr>
                <w:rFonts w:ascii="ＭＳ 明朝" w:hAnsi="ＭＳ 明朝"/>
              </w:rPr>
            </w:pPr>
            <w:r>
              <w:rPr>
                <w:rFonts w:ascii="ＭＳ 明朝" w:hAnsi="ＭＳ 明朝" w:hint="eastAsia"/>
              </w:rPr>
              <w:t>（２）</w:t>
            </w:r>
            <w:r w:rsidR="0073436F">
              <w:rPr>
                <w:rFonts w:ascii="ＭＳ 明朝" w:hAnsi="ＭＳ 明朝" w:hint="eastAsia"/>
              </w:rPr>
              <w:t xml:space="preserve">　</w:t>
            </w:r>
            <w:r>
              <w:rPr>
                <w:rFonts w:ascii="ＭＳ 明朝" w:hAnsi="ＭＳ 明朝" w:hint="eastAsia"/>
              </w:rPr>
              <w:t>植え込みから３年以内に再認定を行うこととするが、その際の判断については次のとおりとする。</w:t>
            </w:r>
          </w:p>
          <w:p w:rsidR="00355C4B" w:rsidRPr="00383FC3" w:rsidRDefault="00355C4B" w:rsidP="0073436F">
            <w:pPr>
              <w:pStyle w:val="a8"/>
              <w:wordWrap/>
              <w:spacing w:line="240" w:lineRule="auto"/>
              <w:ind w:leftChars="-2" w:left="-4" w:firstLineChars="138" w:firstLine="317"/>
              <w:jc w:val="left"/>
              <w:rPr>
                <w:rFonts w:ascii="ＭＳ 明朝" w:hAnsi="ＭＳ 明朝"/>
              </w:rPr>
            </w:pPr>
            <w:r>
              <w:rPr>
                <w:rFonts w:ascii="ＭＳ 明朝" w:hAnsi="ＭＳ 明朝" w:hint="eastAsia"/>
              </w:rPr>
              <w:t>「自己の身辺の日常生活活動が極度に制限されるもの」（１級）とは、身体活動能力（運動強度：メッツ）の値が２未満のものをいう。</w:t>
            </w:r>
            <w:r>
              <w:rPr>
                <w:rFonts w:ascii="ＭＳ 明朝" w:hAnsi="ＭＳ 明朝" w:hint="eastAsia"/>
              </w:rPr>
              <w:br/>
              <w:t xml:space="preserve">　「家庭内での日常生活活動が著しく制限されるもの」（３級）とは、身体活動能力（運動強度：メッツ）の値が２以上４未満のものをいう。</w:t>
            </w:r>
            <w:r>
              <w:rPr>
                <w:rFonts w:ascii="ＭＳ 明朝" w:hAnsi="ＭＳ 明朝" w:hint="eastAsia"/>
              </w:rPr>
              <w:br/>
              <w:t xml:space="preserve">　「社会での日常生活活動が著しく制限されるもの」（４級）とは、身体活動能力（運動強度：メッツ）の値が４以上のものをいう。</w:t>
            </w:r>
          </w:p>
        </w:tc>
      </w:tr>
      <w:tr w:rsidR="00355C4B" w:rsidRPr="00244B3D" w:rsidTr="00016C13">
        <w:trPr>
          <w:cantSplit/>
          <w:trHeight w:val="2490"/>
        </w:trPr>
        <w:tc>
          <w:tcPr>
            <w:tcW w:w="4791" w:type="dxa"/>
          </w:tcPr>
          <w:p w:rsidR="00355C4B" w:rsidRPr="00355C4B" w:rsidRDefault="00355C4B" w:rsidP="0073436F">
            <w:pPr>
              <w:pStyle w:val="a8"/>
              <w:wordWrap/>
              <w:spacing w:line="240" w:lineRule="auto"/>
              <w:ind w:left="248" w:hangingChars="108" w:hanging="248"/>
              <w:rPr>
                <w:rFonts w:ascii="ＭＳ 明朝" w:hAnsi="ＭＳ 明朝"/>
              </w:rPr>
            </w:pPr>
            <w:r>
              <w:rPr>
                <w:rFonts w:ascii="ＭＳ 明朝" w:hAnsi="ＭＳ 明朝" w:hint="eastAsia"/>
              </w:rPr>
              <w:lastRenderedPageBreak/>
              <w:t>５．ペースメーカを植え込みした者、又は人工弁移植、弁置換を行った者は、18歳未満の者の場合も同様か。</w:t>
            </w:r>
          </w:p>
        </w:tc>
        <w:tc>
          <w:tcPr>
            <w:tcW w:w="4674" w:type="dxa"/>
          </w:tcPr>
          <w:p w:rsidR="00355C4B" w:rsidRPr="006E07E5" w:rsidRDefault="00355C4B" w:rsidP="00B97DE8">
            <w:pPr>
              <w:pStyle w:val="a8"/>
              <w:wordWrap/>
              <w:spacing w:line="240" w:lineRule="auto"/>
              <w:ind w:firstLineChars="100" w:firstLine="230"/>
              <w:rPr>
                <w:rFonts w:ascii="ＭＳ 明朝" w:hAnsi="ＭＳ 明朝"/>
              </w:rPr>
            </w:pPr>
            <w:r>
              <w:rPr>
                <w:rFonts w:ascii="ＭＳ 明朝" w:hAnsi="ＭＳ 明朝" w:hint="eastAsia"/>
              </w:rPr>
              <w:t>先天性疾患によりペースメーカを植え込みした者は、１級として認定することとしており、その先天性疾患とは、18歳未満で発症した心疾患を指すこととしている。したがって、ペースメーカを植え込みした18歳未満の者は１級と認定することが適当である。</w:t>
            </w:r>
            <w:r>
              <w:rPr>
                <w:rFonts w:ascii="ＭＳ 明朝" w:hAnsi="ＭＳ 明朝" w:hint="eastAsia"/>
              </w:rPr>
              <w:br/>
              <w:t xml:space="preserve">　また、弁移植、弁置換術を行った者は、年齢にかかわらずいずれも１級として認定することが適当である。</w:t>
            </w:r>
          </w:p>
        </w:tc>
      </w:tr>
      <w:tr w:rsidR="00355C4B" w:rsidRPr="00244B3D" w:rsidTr="00016C13">
        <w:trPr>
          <w:cantSplit/>
          <w:trHeight w:val="1408"/>
        </w:trPr>
        <w:tc>
          <w:tcPr>
            <w:tcW w:w="4791" w:type="dxa"/>
          </w:tcPr>
          <w:p w:rsidR="00355C4B" w:rsidRDefault="00355C4B" w:rsidP="00B97DE8">
            <w:pPr>
              <w:pStyle w:val="a8"/>
              <w:wordWrap/>
              <w:spacing w:line="240" w:lineRule="auto"/>
              <w:ind w:left="248" w:hangingChars="108" w:hanging="248"/>
            </w:pPr>
            <w:r>
              <w:rPr>
                <w:rFonts w:ascii="ＭＳ 明朝" w:hAnsi="ＭＳ 明朝" w:hint="eastAsia"/>
              </w:rPr>
              <w:t>６．体内植込み（埋込）型除細動器（</w:t>
            </w:r>
            <w:r w:rsidR="00A535DD">
              <w:rPr>
                <w:rFonts w:ascii="ＭＳ 明朝" w:hAnsi="ＭＳ 明朝" w:hint="eastAsia"/>
              </w:rPr>
              <w:t>ＩＣＤ</w:t>
            </w:r>
            <w:r>
              <w:rPr>
                <w:rFonts w:ascii="ＭＳ 明朝" w:hAnsi="ＭＳ 明朝" w:hint="eastAsia"/>
              </w:rPr>
              <w:t>）を装着したものについては、ペースメーカを植え込みしているものと同様に取り扱うのか。</w:t>
            </w:r>
          </w:p>
        </w:tc>
        <w:tc>
          <w:tcPr>
            <w:tcW w:w="4674" w:type="dxa"/>
          </w:tcPr>
          <w:p w:rsidR="00355C4B" w:rsidRDefault="00355C4B" w:rsidP="00B97DE8">
            <w:pPr>
              <w:pStyle w:val="a8"/>
              <w:wordWrap/>
              <w:spacing w:line="240" w:lineRule="auto"/>
              <w:ind w:firstLineChars="100" w:firstLine="230"/>
            </w:pPr>
            <w:r>
              <w:rPr>
                <w:rFonts w:ascii="ＭＳ 明朝" w:hAnsi="ＭＳ 明朝" w:hint="eastAsia"/>
              </w:rPr>
              <w:t>同様に取り扱うことが適当である。</w:t>
            </w:r>
          </w:p>
        </w:tc>
      </w:tr>
      <w:tr w:rsidR="00355C4B" w:rsidRPr="00244B3D" w:rsidTr="00016C13">
        <w:trPr>
          <w:cantSplit/>
          <w:trHeight w:val="1408"/>
        </w:trPr>
        <w:tc>
          <w:tcPr>
            <w:tcW w:w="4791" w:type="dxa"/>
          </w:tcPr>
          <w:p w:rsidR="00355C4B" w:rsidRPr="00487DE0" w:rsidRDefault="00355C4B" w:rsidP="0073436F">
            <w:pPr>
              <w:pStyle w:val="a8"/>
              <w:wordWrap/>
              <w:spacing w:line="240" w:lineRule="auto"/>
              <w:ind w:left="248" w:hangingChars="116" w:hanging="248"/>
              <w:rPr>
                <w:rFonts w:ascii="ＭＳ 明朝" w:hAnsi="ＭＳ 明朝"/>
              </w:rPr>
            </w:pPr>
            <w:r>
              <w:rPr>
                <w:rFonts w:ascii="ＭＳ 明朝" w:hAnsi="ＭＳ 明朝" w:hint="eastAsia"/>
                <w:spacing w:val="-8"/>
              </w:rPr>
              <w:t>７．発作性心房細動のある「徐脈頻脈症候群」</w:t>
            </w:r>
            <w:r>
              <w:rPr>
                <w:rFonts w:ascii="ＭＳ 明朝" w:hAnsi="ＭＳ 明朝" w:hint="eastAsia"/>
              </w:rPr>
              <w:t>の症例にペースメーカを植え込んだが、その後心房細動が恒久化し、事実上ペースメーカの機能は用いられなくなっている。この場合、再認定等の際の等級は、どのように判定すべきか。</w:t>
            </w:r>
          </w:p>
        </w:tc>
        <w:tc>
          <w:tcPr>
            <w:tcW w:w="4674" w:type="dxa"/>
          </w:tcPr>
          <w:p w:rsidR="00355C4B" w:rsidRDefault="00355C4B" w:rsidP="00B97DE8">
            <w:pPr>
              <w:pStyle w:val="a8"/>
              <w:wordWrap/>
              <w:spacing w:line="240" w:lineRule="auto"/>
            </w:pPr>
            <w:r>
              <w:rPr>
                <w:rFonts w:ascii="ＭＳ 明朝" w:hAnsi="ＭＳ 明朝" w:hint="eastAsia"/>
              </w:rPr>
              <w:t xml:space="preserve">　認定基準の18歳以上の１級の(イ)「ペースメーカを植え込み、自己の身辺の日常生活活動が極度に制限されるもの、先天性疾患によりペースメーカを植え込みしたもの」、３級の（イ）「ペースメーカを植え込み、家庭内での日常生活活動が著しく制限されるもの」及び４級の（ウ）「ペースメーカを植え込み、社会での日常生活活動が著しく制限されるもの」の規定には該当しないものとして、その他の規定によって判定することが適当である。</w:t>
            </w:r>
          </w:p>
        </w:tc>
      </w:tr>
      <w:tr w:rsidR="00355C4B" w:rsidRPr="00244B3D" w:rsidTr="00016C13">
        <w:trPr>
          <w:cantSplit/>
          <w:trHeight w:val="6073"/>
        </w:trPr>
        <w:tc>
          <w:tcPr>
            <w:tcW w:w="4791" w:type="dxa"/>
          </w:tcPr>
          <w:p w:rsidR="00355C4B" w:rsidRPr="00244B3D" w:rsidRDefault="00355C4B" w:rsidP="00B97DE8">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Pr>
                <w:rFonts w:ascii="ＭＳ 明朝" w:hAnsi="ＭＳ 明朝" w:cs="ＭＳ 明朝" w:hint="eastAsia"/>
                <w:color w:val="000000"/>
                <w:kern w:val="0"/>
                <w:sz w:val="23"/>
                <w:szCs w:val="23"/>
              </w:rPr>
              <w:t>８</w:t>
            </w:r>
            <w:r w:rsidRPr="00244B3D">
              <w:rPr>
                <w:rFonts w:ascii="ＭＳ 明朝" w:hAnsi="ＭＳ 明朝" w:cs="ＭＳ 明朝" w:hint="eastAsia"/>
                <w:color w:val="000000"/>
                <w:kern w:val="0"/>
                <w:sz w:val="23"/>
                <w:szCs w:val="23"/>
              </w:rPr>
              <w:t>．人工弁移植、弁置換に関して、</w:t>
            </w:r>
          </w:p>
          <w:p w:rsidR="00355C4B" w:rsidRPr="00244B3D" w:rsidRDefault="00355C4B" w:rsidP="00B97DE8">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ア．牛や豚の弁を移植した場合も、人工弁移植、弁置換として認定してよいか。</w:t>
            </w:r>
          </w:p>
          <w:p w:rsidR="00355C4B" w:rsidRPr="00244B3D" w:rsidRDefault="00355C4B" w:rsidP="00B97DE8">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イ．また、僧帽弁閉鎖不全症により人工弁輪移植を行った場合も、アと同様に認定してよいか。</w:t>
            </w:r>
          </w:p>
          <w:p w:rsidR="00355C4B" w:rsidRPr="00244B3D" w:rsidRDefault="00355C4B" w:rsidP="00B97DE8">
            <w:pPr>
              <w:suppressAutoHyphens/>
              <w:kinsoku w:val="0"/>
              <w:overflowPunct w:val="0"/>
              <w:autoSpaceDE w:val="0"/>
              <w:autoSpaceDN w:val="0"/>
              <w:adjustRightInd w:val="0"/>
              <w:ind w:leftChars="110" w:left="461"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ウ．心臓そのものを移植した場合は、弁移</w:t>
            </w:r>
            <w:r w:rsidRPr="00334ADF">
              <w:rPr>
                <w:rFonts w:ascii="ＭＳ 明朝" w:hAnsi="ＭＳ 明朝" w:cs="ＭＳ 明朝" w:hint="eastAsia"/>
                <w:color w:val="000000"/>
                <w:spacing w:val="7"/>
                <w:kern w:val="0"/>
                <w:sz w:val="23"/>
                <w:szCs w:val="23"/>
                <w:fitText w:val="4140" w:id="1375517184"/>
              </w:rPr>
              <w:t>植の考え方から１級として認定する</w:t>
            </w:r>
            <w:r w:rsidRPr="00334ADF">
              <w:rPr>
                <w:rFonts w:ascii="ＭＳ 明朝" w:hAnsi="ＭＳ 明朝" w:cs="ＭＳ 明朝" w:hint="eastAsia"/>
                <w:color w:val="000000"/>
                <w:spacing w:val="3"/>
                <w:kern w:val="0"/>
                <w:sz w:val="23"/>
                <w:szCs w:val="23"/>
                <w:fitText w:val="4140" w:id="1375517184"/>
              </w:rPr>
              <w:t>の</w:t>
            </w:r>
            <w:r w:rsidRPr="0073436F">
              <w:rPr>
                <w:rFonts w:ascii="ＭＳ 明朝" w:hAnsi="ＭＳ 明朝" w:cs="ＭＳ 明朝" w:hint="eastAsia"/>
                <w:color w:val="000000"/>
                <w:kern w:val="0"/>
                <w:sz w:val="23"/>
                <w:szCs w:val="23"/>
              </w:rPr>
              <w:t>か。</w:t>
            </w:r>
          </w:p>
        </w:tc>
        <w:tc>
          <w:tcPr>
            <w:tcW w:w="4674" w:type="dxa"/>
          </w:tcPr>
          <w:p w:rsidR="00355C4B" w:rsidRPr="00244B3D" w:rsidRDefault="00355C4B" w:rsidP="00B97DE8">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ア．機械弁に限らず、動物の弁（生体弁）を移植した場合も同様に取り扱うことが適当である。</w:t>
            </w:r>
          </w:p>
          <w:p w:rsidR="00355C4B" w:rsidRPr="00244B3D" w:rsidRDefault="00355C4B" w:rsidP="00B97DE8">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イ．人工弁輪による弁形成術のみをもって、人工弁移植、弁置換と同等に取り扱うことは適当ではない。</w:t>
            </w:r>
          </w:p>
          <w:p w:rsidR="00355C4B" w:rsidRPr="00244B3D" w:rsidRDefault="00355C4B" w:rsidP="00B97DE8">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ウ．心臓移植後、抗免疫療法を必要とする期間中は、１級として取り扱うことが適当である。</w:t>
            </w:r>
          </w:p>
          <w:p w:rsidR="00355C4B" w:rsidRPr="00244B3D" w:rsidRDefault="00355C4B" w:rsidP="00B97DE8">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なお、抗免疫療法を要しなくなった後、改めて認定基準に該当する等級で再認定することは適当と考えられる。</w:t>
            </w:r>
          </w:p>
        </w:tc>
      </w:tr>
      <w:tr w:rsidR="00355C4B" w:rsidRPr="00244B3D" w:rsidTr="00016C13">
        <w:trPr>
          <w:cantSplit/>
          <w:trHeight w:val="1408"/>
        </w:trPr>
        <w:tc>
          <w:tcPr>
            <w:tcW w:w="4791" w:type="dxa"/>
          </w:tcPr>
          <w:p w:rsidR="00355C4B" w:rsidRPr="00244B3D" w:rsidRDefault="00355C4B" w:rsidP="00B97DE8">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Pr>
                <w:rFonts w:ascii="ＭＳ 明朝" w:hAnsi="ＭＳ 明朝" w:cs="ＭＳ 明朝" w:hint="eastAsia"/>
                <w:color w:val="000000"/>
                <w:kern w:val="0"/>
                <w:sz w:val="23"/>
                <w:szCs w:val="23"/>
              </w:rPr>
              <w:lastRenderedPageBreak/>
              <w:t>９</w:t>
            </w:r>
            <w:r w:rsidRPr="00244B3D">
              <w:rPr>
                <w:rFonts w:ascii="ＭＳ 明朝" w:hAnsi="ＭＳ 明朝" w:cs="ＭＳ 明朝" w:hint="eastAsia"/>
                <w:color w:val="000000"/>
                <w:kern w:val="0"/>
                <w:sz w:val="23"/>
                <w:szCs w:val="23"/>
              </w:rPr>
              <w:t>．本人の肺動脈弁を切除して大動脈弁に移</w:t>
            </w:r>
            <w:r w:rsidRPr="00334ADF">
              <w:rPr>
                <w:rFonts w:ascii="ＭＳ 明朝" w:hAnsi="ＭＳ 明朝" w:cs="ＭＳ 明朝" w:hint="eastAsia"/>
                <w:color w:val="000000"/>
                <w:spacing w:val="7"/>
                <w:kern w:val="0"/>
                <w:sz w:val="23"/>
                <w:szCs w:val="23"/>
                <w:fitText w:val="4370" w:id="1375518720"/>
              </w:rPr>
              <w:t>植し、切除した肺動脈弁の部位に生体</w:t>
            </w:r>
            <w:r w:rsidRPr="00334ADF">
              <w:rPr>
                <w:rFonts w:ascii="ＭＳ 明朝" w:hAnsi="ＭＳ 明朝" w:cs="ＭＳ 明朝" w:hint="eastAsia"/>
                <w:color w:val="000000"/>
                <w:spacing w:val="-4"/>
                <w:kern w:val="0"/>
                <w:sz w:val="23"/>
                <w:szCs w:val="23"/>
                <w:fitText w:val="4370" w:id="1375518720"/>
              </w:rPr>
              <w:t>弁</w:t>
            </w:r>
            <w:r w:rsidRPr="00645B7A">
              <w:rPr>
                <w:rFonts w:ascii="ＭＳ 明朝" w:hAnsi="ＭＳ 明朝" w:cs="ＭＳ 明朝" w:hint="eastAsia"/>
                <w:color w:val="000000"/>
                <w:kern w:val="0"/>
                <w:sz w:val="23"/>
                <w:szCs w:val="23"/>
              </w:rPr>
              <w:t>（牛</w:t>
            </w:r>
            <w:r w:rsidRPr="00244B3D">
              <w:rPr>
                <w:rFonts w:ascii="ＭＳ 明朝" w:hAnsi="ＭＳ 明朝" w:cs="ＭＳ 明朝" w:hint="eastAsia"/>
                <w:color w:val="000000"/>
                <w:kern w:val="0"/>
                <w:sz w:val="23"/>
                <w:szCs w:val="23"/>
              </w:rPr>
              <w:t>の弁）を移植した場合は、「人工弁移植、弁置換を行ったもの」に該当すると考えてよいか。</w:t>
            </w:r>
          </w:p>
        </w:tc>
        <w:tc>
          <w:tcPr>
            <w:tcW w:w="4674" w:type="dxa"/>
          </w:tcPr>
          <w:p w:rsidR="00355C4B" w:rsidRPr="00244B3D" w:rsidRDefault="00355C4B" w:rsidP="00B97DE8">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肺動脈弁を切除した部位に新たに生体弁を移植していることから、１級として認定することが可能である。</w:t>
            </w:r>
          </w:p>
        </w:tc>
      </w:tr>
      <w:tr w:rsidR="00355C4B" w:rsidRPr="00244B3D" w:rsidTr="00016C13">
        <w:trPr>
          <w:cantSplit/>
          <w:trHeight w:val="1408"/>
        </w:trPr>
        <w:tc>
          <w:tcPr>
            <w:tcW w:w="4791" w:type="dxa"/>
          </w:tcPr>
          <w:p w:rsidR="00355C4B" w:rsidRPr="00B71DF9" w:rsidRDefault="00A535DD" w:rsidP="00B97DE8">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Pr>
                <w:rFonts w:ascii="ＭＳ 明朝" w:hAnsi="ＭＳ 明朝" w:cs="ＭＳ 明朝" w:hint="eastAsia"/>
                <w:color w:val="000000"/>
                <w:kern w:val="0"/>
                <w:sz w:val="23"/>
                <w:szCs w:val="23"/>
              </w:rPr>
              <w:t>10</w:t>
            </w:r>
            <w:r w:rsidR="00355C4B" w:rsidRPr="00244B3D">
              <w:rPr>
                <w:rFonts w:ascii="ＭＳ 明朝" w:hAnsi="ＭＳ 明朝" w:cs="ＭＳ 明朝" w:hint="eastAsia"/>
                <w:color w:val="000000"/>
                <w:kern w:val="0"/>
                <w:sz w:val="23"/>
                <w:szCs w:val="23"/>
              </w:rPr>
              <w:t>．肺高血圧症に起因する肺性心により、心臓機能に二次的障害が生じた場合、検査所見及び活動能力の程度が認定基準に該当する場合は、心臓機能障害として認定できるか。</w:t>
            </w:r>
          </w:p>
        </w:tc>
        <w:tc>
          <w:tcPr>
            <w:tcW w:w="4674" w:type="dxa"/>
          </w:tcPr>
          <w:p w:rsidR="00355C4B" w:rsidRPr="00244B3D" w:rsidRDefault="00355C4B" w:rsidP="00B97DE8">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二次的障害であっても、その心臓機能の障害が認定基準に該当し、かつ、永続するものであれば、心臓機能障害として認定することが適当である。</w:t>
            </w:r>
          </w:p>
        </w:tc>
      </w:tr>
      <w:tr w:rsidR="00334ADF" w:rsidRPr="00244B3D" w:rsidTr="00016C13">
        <w:trPr>
          <w:cantSplit/>
          <w:trHeight w:val="1408"/>
        </w:trPr>
        <w:tc>
          <w:tcPr>
            <w:tcW w:w="4791" w:type="dxa"/>
          </w:tcPr>
          <w:p w:rsidR="00334ADF" w:rsidRDefault="00334ADF" w:rsidP="00B97DE8">
            <w:pPr>
              <w:suppressAutoHyphens/>
              <w:kinsoku w:val="0"/>
              <w:overflowPunct w:val="0"/>
              <w:autoSpaceDE w:val="0"/>
              <w:autoSpaceDN w:val="0"/>
              <w:adjustRightInd w:val="0"/>
              <w:ind w:left="230" w:hangingChars="100" w:hanging="230"/>
              <w:jc w:val="left"/>
              <w:textAlignment w:val="baseline"/>
              <w:rPr>
                <w:rFonts w:ascii="ＭＳ 明朝" w:hAnsi="ＭＳ 明朝" w:cs="ＭＳ 明朝" w:hint="eastAsia"/>
                <w:color w:val="000000"/>
                <w:kern w:val="0"/>
                <w:sz w:val="23"/>
                <w:szCs w:val="23"/>
              </w:rPr>
            </w:pPr>
            <w:r>
              <w:rPr>
                <w:rFonts w:ascii="ＭＳ 明朝" w:hAnsi="ＭＳ 明朝" w:cs="ＭＳ 明朝" w:hint="eastAsia"/>
                <w:color w:val="000000"/>
                <w:kern w:val="0"/>
                <w:sz w:val="23"/>
                <w:szCs w:val="23"/>
              </w:rPr>
              <w:t>11．</w:t>
            </w:r>
            <w:r w:rsidRPr="00334ADF">
              <w:rPr>
                <w:rFonts w:ascii="ＭＳ 明朝" w:hAnsi="ＭＳ 明朝" w:cs="ＭＳ 明朝" w:hint="eastAsia"/>
                <w:color w:val="000000"/>
                <w:kern w:val="0"/>
                <w:sz w:val="23"/>
                <w:szCs w:val="23"/>
              </w:rPr>
              <w:t>１において、新規で手帳申請した場合の取扱いについて示されているが、再認定の場合における診断書や認定基準も同様の取扱いとなるのか。</w:t>
            </w:r>
          </w:p>
        </w:tc>
        <w:tc>
          <w:tcPr>
            <w:tcW w:w="4674" w:type="dxa"/>
          </w:tcPr>
          <w:p w:rsidR="00334ADF" w:rsidRPr="00334ADF" w:rsidRDefault="00334ADF" w:rsidP="00B97DE8">
            <w:pPr>
              <w:suppressAutoHyphens/>
              <w:kinsoku w:val="0"/>
              <w:overflowPunct w:val="0"/>
              <w:autoSpaceDE w:val="0"/>
              <w:autoSpaceDN w:val="0"/>
              <w:adjustRightInd w:val="0"/>
              <w:jc w:val="left"/>
              <w:textAlignment w:val="baseline"/>
              <w:rPr>
                <w:rFonts w:ascii="ＭＳ 明朝" w:hAnsi="ＭＳ 明朝" w:cs="ＭＳ 明朝" w:hint="eastAsia"/>
                <w:color w:val="000000"/>
                <w:kern w:val="0"/>
                <w:sz w:val="23"/>
                <w:szCs w:val="23"/>
              </w:rPr>
            </w:pPr>
            <w:r>
              <w:rPr>
                <w:rFonts w:ascii="ＭＳ 明朝" w:hAnsi="ＭＳ 明朝" w:cs="ＭＳ 明朝" w:hint="eastAsia"/>
                <w:color w:val="000000"/>
                <w:kern w:val="0"/>
                <w:sz w:val="23"/>
                <w:szCs w:val="23"/>
              </w:rPr>
              <w:t xml:space="preserve">　同様である。</w:t>
            </w:r>
            <w:bookmarkStart w:id="0" w:name="_GoBack"/>
            <w:bookmarkEnd w:id="0"/>
          </w:p>
        </w:tc>
      </w:tr>
    </w:tbl>
    <w:p w:rsidR="008822C3" w:rsidRDefault="008822C3" w:rsidP="00B97DE8">
      <w:pPr>
        <w:suppressAutoHyphens/>
        <w:kinsoku w:val="0"/>
        <w:overflowPunct w:val="0"/>
        <w:autoSpaceDE w:val="0"/>
        <w:autoSpaceDN w:val="0"/>
        <w:adjustRightInd w:val="0"/>
        <w:jc w:val="left"/>
        <w:textAlignment w:val="baseline"/>
      </w:pPr>
    </w:p>
    <w:sectPr w:rsidR="008822C3" w:rsidSect="00D52E2B">
      <w:footerReference w:type="even" r:id="rId7"/>
      <w:footerReference w:type="default" r:id="rId8"/>
      <w:pgSz w:w="11906" w:h="16838" w:code="9"/>
      <w:pgMar w:top="794" w:right="851" w:bottom="794" w:left="1418" w:header="851" w:footer="992" w:gutter="0"/>
      <w:pgNumType w:fmt="numberInDash" w:start="10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DA3" w:rsidRDefault="008E2DA3">
      <w:r>
        <w:separator/>
      </w:r>
    </w:p>
  </w:endnote>
  <w:endnote w:type="continuationSeparator" w:id="0">
    <w:p w:rsidR="008E2DA3" w:rsidRDefault="008E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F7" w:rsidRDefault="00A471F7" w:rsidP="00A471F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471F7" w:rsidRDefault="00A471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86" w:rsidRDefault="004A2286" w:rsidP="002B779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DA3" w:rsidRDefault="008E2DA3">
      <w:r>
        <w:separator/>
      </w:r>
    </w:p>
  </w:footnote>
  <w:footnote w:type="continuationSeparator" w:id="0">
    <w:p w:rsidR="008E2DA3" w:rsidRDefault="008E2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016C13"/>
    <w:rsid w:val="00032070"/>
    <w:rsid w:val="00175012"/>
    <w:rsid w:val="001E14A8"/>
    <w:rsid w:val="00244B3D"/>
    <w:rsid w:val="002B779E"/>
    <w:rsid w:val="002D08E6"/>
    <w:rsid w:val="00334ADF"/>
    <w:rsid w:val="00355C4B"/>
    <w:rsid w:val="00380981"/>
    <w:rsid w:val="003B4ACF"/>
    <w:rsid w:val="00443180"/>
    <w:rsid w:val="004A2286"/>
    <w:rsid w:val="0050339D"/>
    <w:rsid w:val="00547C67"/>
    <w:rsid w:val="00564291"/>
    <w:rsid w:val="00592E82"/>
    <w:rsid w:val="0064268F"/>
    <w:rsid w:val="00645B7A"/>
    <w:rsid w:val="006B1A54"/>
    <w:rsid w:val="006E07E5"/>
    <w:rsid w:val="006E7DAB"/>
    <w:rsid w:val="0073436F"/>
    <w:rsid w:val="007E05CA"/>
    <w:rsid w:val="00803FF4"/>
    <w:rsid w:val="00862AD0"/>
    <w:rsid w:val="008822C3"/>
    <w:rsid w:val="008844CA"/>
    <w:rsid w:val="008C5AEE"/>
    <w:rsid w:val="008E2DA3"/>
    <w:rsid w:val="0095718F"/>
    <w:rsid w:val="00977BF3"/>
    <w:rsid w:val="009D7B0A"/>
    <w:rsid w:val="00A471F7"/>
    <w:rsid w:val="00A535DD"/>
    <w:rsid w:val="00A840C0"/>
    <w:rsid w:val="00AB7D64"/>
    <w:rsid w:val="00B238F6"/>
    <w:rsid w:val="00B71DF9"/>
    <w:rsid w:val="00B90D10"/>
    <w:rsid w:val="00B97DE8"/>
    <w:rsid w:val="00C3106B"/>
    <w:rsid w:val="00C83F68"/>
    <w:rsid w:val="00D14403"/>
    <w:rsid w:val="00D52E2B"/>
    <w:rsid w:val="00D86E2E"/>
    <w:rsid w:val="00E11989"/>
    <w:rsid w:val="00E1635D"/>
    <w:rsid w:val="00E4341D"/>
    <w:rsid w:val="00E4722A"/>
    <w:rsid w:val="00FA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96FDAD"/>
  <w15:docId w15:val="{3103EDAA-75EA-4483-B279-F4072178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A471F7"/>
  </w:style>
  <w:style w:type="paragraph" w:customStyle="1" w:styleId="a8">
    <w:name w:val="一太郎"/>
    <w:rsid w:val="00355C4B"/>
    <w:pPr>
      <w:widowControl w:val="0"/>
      <w:wordWrap w:val="0"/>
      <w:autoSpaceDE w:val="0"/>
      <w:autoSpaceDN w:val="0"/>
      <w:adjustRightInd w:val="0"/>
      <w:spacing w:line="350" w:lineRule="exact"/>
      <w:jc w:val="both"/>
    </w:pPr>
    <w:rPr>
      <w:rFonts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10023">
      <w:bodyDiv w:val="1"/>
      <w:marLeft w:val="0"/>
      <w:marRight w:val="0"/>
      <w:marTop w:val="0"/>
      <w:marBottom w:val="0"/>
      <w:divBdr>
        <w:top w:val="none" w:sz="0" w:space="0" w:color="auto"/>
        <w:left w:val="none" w:sz="0" w:space="0" w:color="auto"/>
        <w:bottom w:val="none" w:sz="0" w:space="0" w:color="auto"/>
        <w:right w:val="none" w:sz="0" w:space="0" w:color="auto"/>
      </w:divBdr>
    </w:div>
    <w:div w:id="10283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182D-FEDC-4DE3-ACDD-F1A287CD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397</Words>
  <Characters>2267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9</cp:revision>
  <cp:lastPrinted>2007-01-10T07:06:00Z</cp:lastPrinted>
  <dcterms:created xsi:type="dcterms:W3CDTF">2015-08-14T04:50:00Z</dcterms:created>
  <dcterms:modified xsi:type="dcterms:W3CDTF">2022-06-27T23:21:00Z</dcterms:modified>
</cp:coreProperties>
</file>